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986" w:rsidRDefault="00B93986" w:rsidP="00B93986">
      <w:pPr>
        <w:pStyle w:val="NoSpacing"/>
        <w:rPr>
          <w:rFonts w:ascii="Century Gothic" w:hAnsi="Century Gothic"/>
          <w:b/>
          <w:sz w:val="30"/>
          <w:szCs w:val="30"/>
        </w:rPr>
      </w:pPr>
    </w:p>
    <w:p w:rsidR="00441413" w:rsidRPr="00B93986" w:rsidRDefault="00F73078" w:rsidP="00B93986">
      <w:pPr>
        <w:pStyle w:val="NoSpacing"/>
        <w:rPr>
          <w:rFonts w:ascii="Century Gothic" w:hAnsi="Century Gothic"/>
          <w:b/>
          <w:sz w:val="30"/>
          <w:szCs w:val="30"/>
        </w:rPr>
      </w:pPr>
      <w:r w:rsidRPr="00B93986">
        <w:rPr>
          <w:rFonts w:ascii="Century Gothic" w:hAnsi="Century Gothic"/>
          <w:b/>
          <w:sz w:val="30"/>
          <w:szCs w:val="30"/>
        </w:rPr>
        <w:t>Intact Forest Landscape Assessment Exercise</w:t>
      </w:r>
    </w:p>
    <w:p w:rsidR="00F73078" w:rsidRPr="00B93986" w:rsidRDefault="00F73078" w:rsidP="00441413">
      <w:pPr>
        <w:pStyle w:val="NoSpacing"/>
        <w:rPr>
          <w:rFonts w:ascii="Century Gothic" w:hAnsi="Century Gothic"/>
          <w:b/>
          <w:sz w:val="20"/>
          <w:szCs w:val="20"/>
        </w:rPr>
      </w:pPr>
    </w:p>
    <w:p w:rsidR="0025593D" w:rsidRPr="00B93986" w:rsidRDefault="0025593D" w:rsidP="0025593D">
      <w:pPr>
        <w:pStyle w:val="NoSpacing"/>
        <w:rPr>
          <w:rFonts w:ascii="Century Gothic" w:hAnsi="Century Gothic"/>
          <w:sz w:val="20"/>
          <w:szCs w:val="20"/>
        </w:rPr>
      </w:pPr>
      <w:r w:rsidRPr="00B93986">
        <w:rPr>
          <w:rFonts w:ascii="Century Gothic" w:hAnsi="Century Gothic"/>
          <w:sz w:val="20"/>
          <w:szCs w:val="20"/>
        </w:rPr>
        <w:t xml:space="preserve">Thank you for assisting FSC Canada to </w:t>
      </w:r>
      <w:r w:rsidR="001A7252" w:rsidRPr="00B93986">
        <w:rPr>
          <w:rFonts w:ascii="Century Gothic" w:hAnsi="Century Gothic"/>
          <w:sz w:val="20"/>
          <w:szCs w:val="20"/>
        </w:rPr>
        <w:t>investigate the practicality and implications of working with Intact Forest Landscapes.</w:t>
      </w:r>
      <w:r w:rsidRPr="00B93986">
        <w:rPr>
          <w:rFonts w:ascii="Century Gothic" w:hAnsi="Century Gothic"/>
          <w:sz w:val="20"/>
          <w:szCs w:val="20"/>
        </w:rPr>
        <w:t xml:space="preserve"> </w:t>
      </w:r>
    </w:p>
    <w:p w:rsidR="0025593D" w:rsidRPr="00B93986" w:rsidRDefault="0025593D" w:rsidP="0025593D">
      <w:pPr>
        <w:pStyle w:val="NoSpacing"/>
        <w:rPr>
          <w:rFonts w:ascii="Century Gothic" w:hAnsi="Century Gothic"/>
          <w:sz w:val="20"/>
          <w:szCs w:val="20"/>
        </w:rPr>
      </w:pPr>
    </w:p>
    <w:p w:rsidR="00F73078" w:rsidRPr="00B93986" w:rsidRDefault="00F73078" w:rsidP="00F73078">
      <w:pPr>
        <w:spacing w:after="0" w:line="240" w:lineRule="auto"/>
        <w:rPr>
          <w:rFonts w:ascii="Century Gothic" w:eastAsia="Times New Roman" w:hAnsi="Century Gothic" w:cs="Times New Roman"/>
          <w:sz w:val="20"/>
          <w:szCs w:val="20"/>
        </w:rPr>
      </w:pPr>
      <w:r w:rsidRPr="00B93986">
        <w:rPr>
          <w:rFonts w:ascii="Century Gothic" w:eastAsia="Times New Roman" w:hAnsi="Century Gothic" w:cs="Times New Roman"/>
          <w:sz w:val="20"/>
          <w:szCs w:val="20"/>
        </w:rPr>
        <w:t>You may identify IFLs using any of three approaches:</w:t>
      </w:r>
    </w:p>
    <w:p w:rsidR="00F73078" w:rsidRPr="00B93986" w:rsidRDefault="00F73078" w:rsidP="00F73078">
      <w:pPr>
        <w:pStyle w:val="ListParagraph"/>
        <w:numPr>
          <w:ilvl w:val="0"/>
          <w:numId w:val="13"/>
        </w:numPr>
        <w:spacing w:after="0" w:line="240" w:lineRule="auto"/>
        <w:rPr>
          <w:rFonts w:ascii="Century Gothic" w:eastAsia="Times New Roman" w:hAnsi="Century Gothic" w:cs="Times New Roman"/>
          <w:color w:val="auto"/>
        </w:rPr>
      </w:pPr>
      <w:r w:rsidRPr="00B93986">
        <w:rPr>
          <w:rFonts w:ascii="Century Gothic" w:eastAsia="Times New Roman" w:hAnsi="Century Gothic" w:cs="Times New Roman"/>
          <w:color w:val="auto"/>
        </w:rPr>
        <w:t>Use the process outlined in the following sections of this file.  The process is based on the recently-completed (draft) rule-set of GIS directions on identification of IFLs</w:t>
      </w:r>
      <w:r w:rsidRPr="00B93986">
        <w:rPr>
          <w:rFonts w:ascii="Century Gothic" w:hAnsi="Century Gothic"/>
          <w:color w:val="auto"/>
          <w:vertAlign w:val="superscript"/>
        </w:rPr>
        <w:footnoteReference w:id="1"/>
      </w:r>
      <w:r w:rsidRPr="00B93986">
        <w:rPr>
          <w:rFonts w:ascii="Century Gothic" w:eastAsia="Times New Roman" w:hAnsi="Century Gothic" w:cs="Times New Roman"/>
          <w:color w:val="auto"/>
        </w:rPr>
        <w:t xml:space="preserve">. </w:t>
      </w:r>
    </w:p>
    <w:p w:rsidR="00F73078" w:rsidRPr="00B93986" w:rsidRDefault="00F73078" w:rsidP="00F73078">
      <w:pPr>
        <w:pStyle w:val="ListParagraph"/>
        <w:numPr>
          <w:ilvl w:val="0"/>
          <w:numId w:val="13"/>
        </w:numPr>
        <w:spacing w:after="0" w:line="240" w:lineRule="auto"/>
        <w:rPr>
          <w:rFonts w:ascii="Century Gothic" w:eastAsia="Times New Roman" w:hAnsi="Century Gothic" w:cs="Times New Roman"/>
          <w:color w:val="auto"/>
        </w:rPr>
      </w:pPr>
      <w:r w:rsidRPr="00B93986">
        <w:rPr>
          <w:rFonts w:ascii="Century Gothic" w:eastAsia="Times New Roman" w:hAnsi="Century Gothic" w:cs="Times New Roman"/>
          <w:color w:val="auto"/>
        </w:rPr>
        <w:t>Use the IFL data on the Global Forest Watch Canada web-site (</w:t>
      </w:r>
      <w:hyperlink r:id="rId8" w:history="1">
        <w:r w:rsidRPr="00B93986">
          <w:rPr>
            <w:rFonts w:ascii="Century Gothic" w:eastAsia="Times New Roman" w:hAnsi="Century Gothic" w:cs="Times New Roman"/>
            <w:color w:val="auto"/>
            <w:u w:val="single"/>
          </w:rPr>
          <w:t>http://www.globalforestwatch.ca/</w:t>
        </w:r>
      </w:hyperlink>
      <w:r w:rsidRPr="00B93986">
        <w:rPr>
          <w:rFonts w:ascii="Century Gothic" w:eastAsia="Times New Roman" w:hAnsi="Century Gothic" w:cs="Times New Roman"/>
          <w:color w:val="auto"/>
        </w:rPr>
        <w:t>). These data are scheduled for release in June of 2016.  If the data are not yet available, please use an alternate approach</w:t>
      </w:r>
    </w:p>
    <w:p w:rsidR="00F73078" w:rsidRPr="00B93986" w:rsidRDefault="0048645F" w:rsidP="00F73078">
      <w:pPr>
        <w:pStyle w:val="ListParagraph"/>
        <w:numPr>
          <w:ilvl w:val="0"/>
          <w:numId w:val="13"/>
        </w:numPr>
        <w:spacing w:after="0" w:line="240" w:lineRule="auto"/>
        <w:rPr>
          <w:rFonts w:ascii="Century Gothic" w:eastAsia="Times New Roman" w:hAnsi="Century Gothic" w:cs="Times New Roman"/>
          <w:color w:val="auto"/>
        </w:rPr>
      </w:pPr>
      <w:r w:rsidRPr="00B93986">
        <w:rPr>
          <w:rFonts w:ascii="Century Gothic" w:eastAsia="Times New Roman" w:hAnsi="Century Gothic" w:cs="Times New Roman"/>
          <w:color w:val="auto"/>
        </w:rPr>
        <w:t xml:space="preserve">Use another approach convenient for you, or </w:t>
      </w:r>
      <w:r w:rsidR="00F73078" w:rsidRPr="00B93986">
        <w:rPr>
          <w:rFonts w:ascii="Century Gothic" w:eastAsia="Times New Roman" w:hAnsi="Century Gothic" w:cs="Times New Roman"/>
          <w:color w:val="auto"/>
        </w:rPr>
        <w:t xml:space="preserve">other information that you have available on IFLs in your </w:t>
      </w:r>
      <w:r w:rsidRPr="00B93986">
        <w:rPr>
          <w:rFonts w:ascii="Century Gothic" w:eastAsia="Times New Roman" w:hAnsi="Century Gothic" w:cs="Times New Roman"/>
          <w:color w:val="auto"/>
        </w:rPr>
        <w:t>Management Unit.</w:t>
      </w:r>
    </w:p>
    <w:p w:rsidR="00F73078" w:rsidRPr="00B93986" w:rsidRDefault="00F73078" w:rsidP="0025593D">
      <w:pPr>
        <w:pStyle w:val="NoSpacing"/>
        <w:rPr>
          <w:rFonts w:ascii="Century Gothic" w:hAnsi="Century Gothic"/>
          <w:sz w:val="20"/>
          <w:szCs w:val="20"/>
        </w:rPr>
      </w:pPr>
    </w:p>
    <w:p w:rsidR="00F73078" w:rsidRPr="00B93986" w:rsidRDefault="00F73078" w:rsidP="0025593D">
      <w:pPr>
        <w:pStyle w:val="NoSpacing"/>
        <w:rPr>
          <w:rFonts w:ascii="Century Gothic" w:hAnsi="Century Gothic"/>
          <w:sz w:val="20"/>
          <w:szCs w:val="20"/>
        </w:rPr>
      </w:pPr>
    </w:p>
    <w:p w:rsidR="0048645F" w:rsidRPr="00B93986" w:rsidRDefault="0048645F" w:rsidP="0025593D">
      <w:pPr>
        <w:pStyle w:val="NoSpacing"/>
        <w:rPr>
          <w:rFonts w:ascii="Century Gothic" w:hAnsi="Century Gothic"/>
          <w:b/>
          <w:sz w:val="20"/>
          <w:szCs w:val="20"/>
        </w:rPr>
      </w:pPr>
      <w:r w:rsidRPr="00B93986">
        <w:rPr>
          <w:rFonts w:ascii="Century Gothic" w:hAnsi="Century Gothic"/>
          <w:b/>
          <w:sz w:val="20"/>
          <w:szCs w:val="20"/>
        </w:rPr>
        <w:t>Using the Rule Set</w:t>
      </w:r>
    </w:p>
    <w:p w:rsidR="0048645F" w:rsidRPr="00B93986" w:rsidRDefault="0048645F" w:rsidP="0048645F">
      <w:pPr>
        <w:spacing w:line="240" w:lineRule="auto"/>
        <w:rPr>
          <w:rFonts w:ascii="Century Gothic" w:hAnsi="Century Gothic"/>
          <w:sz w:val="20"/>
          <w:szCs w:val="20"/>
        </w:rPr>
      </w:pPr>
      <w:r w:rsidRPr="00B93986">
        <w:rPr>
          <w:rFonts w:ascii="Century Gothic" w:hAnsi="Century Gothic"/>
          <w:sz w:val="20"/>
          <w:szCs w:val="20"/>
        </w:rPr>
        <w:t>If you elect to use the rule set as outlined below, p</w:t>
      </w:r>
      <w:r w:rsidR="001A7252" w:rsidRPr="00B93986">
        <w:rPr>
          <w:rFonts w:ascii="Century Gothic" w:hAnsi="Century Gothic"/>
          <w:sz w:val="20"/>
          <w:szCs w:val="20"/>
        </w:rPr>
        <w:t xml:space="preserve">lease </w:t>
      </w:r>
      <w:r w:rsidRPr="00B93986">
        <w:rPr>
          <w:rFonts w:ascii="Century Gothic" w:hAnsi="Century Gothic"/>
          <w:sz w:val="20"/>
          <w:szCs w:val="20"/>
        </w:rPr>
        <w:t xml:space="preserve">record </w:t>
      </w:r>
      <w:r w:rsidR="0025593D" w:rsidRPr="00B93986">
        <w:rPr>
          <w:rFonts w:ascii="Century Gothic" w:hAnsi="Century Gothic"/>
          <w:sz w:val="20"/>
          <w:szCs w:val="20"/>
        </w:rPr>
        <w:t xml:space="preserve">anything that causes problems.  </w:t>
      </w:r>
      <w:r w:rsidRPr="00B93986">
        <w:rPr>
          <w:rFonts w:ascii="Century Gothic" w:hAnsi="Century Gothic"/>
          <w:sz w:val="20"/>
          <w:szCs w:val="20"/>
        </w:rPr>
        <w:t xml:space="preserve">This rule set for calculating IFL size is based on initial work by a collaborating company to </w:t>
      </w:r>
      <w:r w:rsidR="00B93986" w:rsidRPr="00B93986">
        <w:rPr>
          <w:rFonts w:ascii="Century Gothic" w:hAnsi="Century Gothic"/>
          <w:sz w:val="20"/>
          <w:szCs w:val="20"/>
        </w:rPr>
        <w:t>investigate</w:t>
      </w:r>
      <w:bookmarkStart w:id="0" w:name="_GoBack"/>
      <w:bookmarkEnd w:id="0"/>
      <w:r w:rsidRPr="00B93986">
        <w:rPr>
          <w:rFonts w:ascii="Century Gothic" w:hAnsi="Century Gothic"/>
          <w:sz w:val="20"/>
          <w:szCs w:val="20"/>
        </w:rPr>
        <w:t xml:space="preserve"> the practicality of technical direction regarding IFL definition. </w:t>
      </w:r>
    </w:p>
    <w:p w:rsidR="0025593D" w:rsidRPr="00B93986" w:rsidRDefault="00EF7A1E" w:rsidP="0025593D">
      <w:pPr>
        <w:pStyle w:val="NoSpacing"/>
        <w:rPr>
          <w:rFonts w:ascii="Century Gothic" w:hAnsi="Century Gothic"/>
          <w:sz w:val="20"/>
          <w:szCs w:val="20"/>
        </w:rPr>
      </w:pPr>
      <w:r w:rsidRPr="00B93986">
        <w:rPr>
          <w:rFonts w:ascii="Century Gothic" w:hAnsi="Century Gothic"/>
          <w:sz w:val="20"/>
          <w:szCs w:val="20"/>
        </w:rPr>
        <w:t xml:space="preserve">If you have a problem that needs direction, contact Tom Clark (705 645 2580, </w:t>
      </w:r>
      <w:hyperlink r:id="rId9" w:history="1">
        <w:r w:rsidR="001A7252" w:rsidRPr="00B93986">
          <w:rPr>
            <w:rStyle w:val="Hyperlink"/>
            <w:rFonts w:ascii="Century Gothic" w:hAnsi="Century Gothic"/>
            <w:sz w:val="20"/>
            <w:szCs w:val="20"/>
          </w:rPr>
          <w:t>tom@tomclark.ca</w:t>
        </w:r>
      </w:hyperlink>
      <w:r w:rsidRPr="00B93986">
        <w:rPr>
          <w:rFonts w:ascii="Century Gothic" w:hAnsi="Century Gothic"/>
          <w:sz w:val="20"/>
          <w:szCs w:val="20"/>
        </w:rPr>
        <w:t>)</w:t>
      </w:r>
      <w:r w:rsidR="001A7252" w:rsidRPr="00B93986">
        <w:rPr>
          <w:rFonts w:ascii="Century Gothic" w:hAnsi="Century Gothic"/>
          <w:sz w:val="20"/>
          <w:szCs w:val="20"/>
        </w:rPr>
        <w:t xml:space="preserve"> or Chris Wedeles (905 877-6887, chris@avesltd.ca)</w:t>
      </w:r>
      <w:r w:rsidRPr="00B93986">
        <w:rPr>
          <w:rFonts w:ascii="Century Gothic" w:hAnsi="Century Gothic"/>
          <w:sz w:val="20"/>
          <w:szCs w:val="20"/>
        </w:rPr>
        <w:t>.</w:t>
      </w:r>
    </w:p>
    <w:p w:rsidR="0025593D" w:rsidRPr="00B93986" w:rsidRDefault="0025593D" w:rsidP="0025593D">
      <w:pPr>
        <w:pStyle w:val="NoSpacing"/>
        <w:rPr>
          <w:rFonts w:ascii="Century Gothic" w:hAnsi="Century Gothic"/>
          <w:sz w:val="20"/>
          <w:szCs w:val="20"/>
        </w:rPr>
      </w:pPr>
    </w:p>
    <w:p w:rsidR="00134090" w:rsidRPr="00B93986" w:rsidRDefault="00360C7F" w:rsidP="0048645F">
      <w:pPr>
        <w:pStyle w:val="NoSpacing"/>
        <w:rPr>
          <w:rFonts w:ascii="Century Gothic" w:hAnsi="Century Gothic"/>
          <w:sz w:val="20"/>
          <w:szCs w:val="20"/>
        </w:rPr>
      </w:pPr>
      <w:r w:rsidRPr="00B93986">
        <w:rPr>
          <w:rFonts w:ascii="Century Gothic" w:hAnsi="Century Gothic"/>
          <w:sz w:val="20"/>
          <w:szCs w:val="20"/>
        </w:rPr>
        <w:t xml:space="preserve">Use the </w:t>
      </w:r>
      <w:r w:rsidR="00134090" w:rsidRPr="00B93986">
        <w:rPr>
          <w:rFonts w:ascii="Century Gothic" w:hAnsi="Century Gothic"/>
          <w:sz w:val="20"/>
          <w:szCs w:val="20"/>
        </w:rPr>
        <w:t>Table</w:t>
      </w:r>
      <w:r w:rsidRPr="00B93986">
        <w:rPr>
          <w:rFonts w:ascii="Century Gothic" w:hAnsi="Century Gothic"/>
          <w:sz w:val="20"/>
          <w:szCs w:val="20"/>
        </w:rPr>
        <w:t xml:space="preserve"> that follows as the rule set for calculating </w:t>
      </w:r>
      <w:r w:rsidR="00C94EB7" w:rsidRPr="00B93986">
        <w:rPr>
          <w:rFonts w:ascii="Century Gothic" w:hAnsi="Century Gothic"/>
          <w:sz w:val="20"/>
          <w:szCs w:val="20"/>
        </w:rPr>
        <w:t xml:space="preserve">the base amount of </w:t>
      </w:r>
      <w:r w:rsidRPr="00B93986">
        <w:rPr>
          <w:rFonts w:ascii="Century Gothic" w:hAnsi="Century Gothic"/>
          <w:sz w:val="20"/>
          <w:szCs w:val="20"/>
        </w:rPr>
        <w:t xml:space="preserve">IFLs.  </w:t>
      </w:r>
    </w:p>
    <w:p w:rsidR="00EF7A1E" w:rsidRPr="00B93986" w:rsidRDefault="00EF7A1E">
      <w:pPr>
        <w:rPr>
          <w:rFonts w:ascii="Century Gothic" w:hAnsi="Century Gothic"/>
          <w:sz w:val="20"/>
          <w:szCs w:val="20"/>
        </w:rPr>
      </w:pPr>
    </w:p>
    <w:p w:rsidR="00910FB9" w:rsidRPr="00B93986" w:rsidRDefault="00910FB9" w:rsidP="00910FB9">
      <w:pPr>
        <w:pStyle w:val="Caption"/>
        <w:jc w:val="left"/>
        <w:rPr>
          <w:rFonts w:ascii="Century Gothic" w:hAnsi="Century Gothic"/>
          <w:color w:val="auto"/>
          <w:sz w:val="20"/>
          <w:szCs w:val="20"/>
        </w:rPr>
      </w:pPr>
      <w:bookmarkStart w:id="1" w:name="_Ref424150703"/>
      <w:r w:rsidRPr="00B93986">
        <w:rPr>
          <w:rFonts w:ascii="Century Gothic" w:hAnsi="Century Gothic"/>
          <w:color w:val="auto"/>
          <w:sz w:val="20"/>
          <w:szCs w:val="20"/>
        </w:rPr>
        <w:t xml:space="preserve">Table </w:t>
      </w:r>
      <w:r w:rsidR="004C7C64" w:rsidRPr="00B93986">
        <w:rPr>
          <w:rFonts w:ascii="Century Gothic" w:hAnsi="Century Gothic"/>
          <w:color w:val="auto"/>
          <w:sz w:val="20"/>
          <w:szCs w:val="20"/>
        </w:rPr>
        <w:fldChar w:fldCharType="begin"/>
      </w:r>
      <w:r w:rsidRPr="00B93986">
        <w:rPr>
          <w:rFonts w:ascii="Century Gothic" w:hAnsi="Century Gothic"/>
          <w:color w:val="auto"/>
          <w:sz w:val="20"/>
          <w:szCs w:val="20"/>
        </w:rPr>
        <w:instrText xml:space="preserve"> SEQ Table \* ARABIC </w:instrText>
      </w:r>
      <w:r w:rsidR="004C7C64" w:rsidRPr="00B93986">
        <w:rPr>
          <w:rFonts w:ascii="Century Gothic" w:hAnsi="Century Gothic"/>
          <w:color w:val="auto"/>
          <w:sz w:val="20"/>
          <w:szCs w:val="20"/>
        </w:rPr>
        <w:fldChar w:fldCharType="separate"/>
      </w:r>
      <w:r w:rsidRPr="00B93986">
        <w:rPr>
          <w:rFonts w:ascii="Century Gothic" w:hAnsi="Century Gothic"/>
          <w:noProof/>
          <w:color w:val="auto"/>
          <w:sz w:val="20"/>
          <w:szCs w:val="20"/>
        </w:rPr>
        <w:t>1</w:t>
      </w:r>
      <w:r w:rsidR="004C7C64" w:rsidRPr="00B93986">
        <w:rPr>
          <w:rFonts w:ascii="Century Gothic" w:hAnsi="Century Gothic"/>
          <w:color w:val="auto"/>
          <w:sz w:val="20"/>
          <w:szCs w:val="20"/>
        </w:rPr>
        <w:fldChar w:fldCharType="end"/>
      </w:r>
      <w:bookmarkEnd w:id="1"/>
      <w:r w:rsidRPr="00B93986">
        <w:rPr>
          <w:rFonts w:ascii="Century Gothic" w:hAnsi="Century Gothic"/>
          <w:color w:val="auto"/>
          <w:sz w:val="20"/>
          <w:szCs w:val="20"/>
        </w:rPr>
        <w:t xml:space="preserve">.  </w:t>
      </w:r>
      <w:r w:rsidR="001B7085" w:rsidRPr="00B93986">
        <w:rPr>
          <w:rFonts w:ascii="Century Gothic" w:hAnsi="Century Gothic"/>
          <w:color w:val="auto"/>
          <w:sz w:val="20"/>
          <w:szCs w:val="20"/>
        </w:rPr>
        <w:t>Rule set for measurement of IFL</w:t>
      </w:r>
      <w:r w:rsidR="006E661D" w:rsidRPr="00B93986">
        <w:rPr>
          <w:rFonts w:ascii="Century Gothic" w:hAnsi="Century Gothic"/>
          <w:color w:val="auto"/>
          <w:sz w:val="20"/>
          <w:szCs w:val="20"/>
        </w:rPr>
        <w:t>.</w:t>
      </w:r>
    </w:p>
    <w:tbl>
      <w:tblPr>
        <w:tblStyle w:val="TableGrid"/>
        <w:tblW w:w="9322" w:type="dxa"/>
        <w:tblLook w:val="04A0" w:firstRow="1" w:lastRow="0" w:firstColumn="1" w:lastColumn="0" w:noHBand="0" w:noVBand="1"/>
      </w:tblPr>
      <w:tblGrid>
        <w:gridCol w:w="1387"/>
        <w:gridCol w:w="3826"/>
        <w:gridCol w:w="4109"/>
      </w:tblGrid>
      <w:tr w:rsidR="00910FB9" w:rsidRPr="00B93986" w:rsidTr="0048645F">
        <w:trPr>
          <w:tblHeader/>
        </w:trPr>
        <w:tc>
          <w:tcPr>
            <w:tcW w:w="1384" w:type="dxa"/>
            <w:shd w:val="pct15" w:color="auto" w:fill="auto"/>
          </w:tcPr>
          <w:p w:rsidR="00910FB9" w:rsidRPr="00B93986" w:rsidRDefault="00910FB9" w:rsidP="0048645F">
            <w:pPr>
              <w:pStyle w:val="NoSpacing"/>
              <w:jc w:val="center"/>
              <w:rPr>
                <w:rFonts w:ascii="Century Gothic" w:hAnsi="Century Gothic"/>
                <w:b/>
                <w:sz w:val="20"/>
                <w:szCs w:val="20"/>
              </w:rPr>
            </w:pPr>
            <w:r w:rsidRPr="00B93986">
              <w:rPr>
                <w:rFonts w:ascii="Century Gothic" w:hAnsi="Century Gothic"/>
                <w:b/>
                <w:sz w:val="20"/>
                <w:szCs w:val="20"/>
              </w:rPr>
              <w:t>Descriptor</w:t>
            </w:r>
          </w:p>
        </w:tc>
        <w:tc>
          <w:tcPr>
            <w:tcW w:w="3827" w:type="dxa"/>
            <w:shd w:val="pct15" w:color="auto" w:fill="auto"/>
          </w:tcPr>
          <w:p w:rsidR="00910FB9" w:rsidRPr="00B93986" w:rsidRDefault="00910FB9" w:rsidP="0048645F">
            <w:pPr>
              <w:pStyle w:val="NoSpacing"/>
              <w:jc w:val="center"/>
              <w:rPr>
                <w:rFonts w:ascii="Century Gothic" w:hAnsi="Century Gothic"/>
                <w:b/>
                <w:sz w:val="20"/>
                <w:szCs w:val="20"/>
              </w:rPr>
            </w:pPr>
            <w:r w:rsidRPr="00B93986">
              <w:rPr>
                <w:rFonts w:ascii="Century Gothic" w:hAnsi="Century Gothic"/>
                <w:b/>
                <w:sz w:val="20"/>
                <w:szCs w:val="20"/>
              </w:rPr>
              <w:t>Quantitative measure</w:t>
            </w:r>
          </w:p>
        </w:tc>
        <w:tc>
          <w:tcPr>
            <w:tcW w:w="4111" w:type="dxa"/>
            <w:shd w:val="pct15" w:color="auto" w:fill="auto"/>
          </w:tcPr>
          <w:p w:rsidR="00910FB9" w:rsidRPr="00B93986" w:rsidRDefault="00253407" w:rsidP="0048645F">
            <w:pPr>
              <w:pStyle w:val="NoSpacing"/>
              <w:jc w:val="center"/>
              <w:rPr>
                <w:rFonts w:ascii="Century Gothic" w:hAnsi="Century Gothic"/>
                <w:b/>
                <w:sz w:val="20"/>
                <w:szCs w:val="20"/>
              </w:rPr>
            </w:pPr>
            <w:r w:rsidRPr="00B93986">
              <w:rPr>
                <w:rFonts w:ascii="Century Gothic" w:hAnsi="Century Gothic"/>
                <w:b/>
                <w:sz w:val="20"/>
                <w:szCs w:val="20"/>
              </w:rPr>
              <w:t>Application</w:t>
            </w:r>
          </w:p>
        </w:tc>
      </w:tr>
      <w:tr w:rsidR="00910FB9" w:rsidRPr="00B93986" w:rsidTr="00571482">
        <w:tc>
          <w:tcPr>
            <w:tcW w:w="1384" w:type="dxa"/>
          </w:tcPr>
          <w:p w:rsidR="00910FB9" w:rsidRPr="00B93986" w:rsidRDefault="00910FB9" w:rsidP="0025593D">
            <w:pPr>
              <w:pStyle w:val="NoSpacing"/>
              <w:rPr>
                <w:rFonts w:ascii="Century Gothic" w:hAnsi="Century Gothic"/>
                <w:sz w:val="20"/>
                <w:szCs w:val="20"/>
              </w:rPr>
            </w:pPr>
            <w:r w:rsidRPr="00B93986">
              <w:rPr>
                <w:rFonts w:ascii="Century Gothic" w:hAnsi="Century Gothic"/>
                <w:sz w:val="20"/>
                <w:szCs w:val="20"/>
              </w:rPr>
              <w:t>Base Size</w:t>
            </w:r>
          </w:p>
        </w:tc>
        <w:tc>
          <w:tcPr>
            <w:tcW w:w="3827" w:type="dxa"/>
          </w:tcPr>
          <w:p w:rsidR="00910FB9" w:rsidRPr="00B93986" w:rsidRDefault="00910FB9" w:rsidP="0025593D">
            <w:pPr>
              <w:pStyle w:val="NoSpacing"/>
              <w:rPr>
                <w:rFonts w:ascii="Century Gothic" w:hAnsi="Century Gothic"/>
                <w:sz w:val="20"/>
                <w:szCs w:val="20"/>
              </w:rPr>
            </w:pPr>
            <w:r w:rsidRPr="00B93986">
              <w:rPr>
                <w:rFonts w:ascii="Century Gothic" w:hAnsi="Century Gothic"/>
                <w:sz w:val="20"/>
                <w:szCs w:val="20"/>
              </w:rPr>
              <w:t>&gt; 500 km</w:t>
            </w:r>
            <w:r w:rsidRPr="00B93986">
              <w:rPr>
                <w:rFonts w:ascii="Century Gothic" w:hAnsi="Century Gothic"/>
                <w:sz w:val="20"/>
                <w:szCs w:val="20"/>
                <w:vertAlign w:val="superscript"/>
              </w:rPr>
              <w:t>2</w:t>
            </w:r>
            <w:r w:rsidR="00C94EB7" w:rsidRPr="00B93986">
              <w:rPr>
                <w:rFonts w:ascii="Century Gothic" w:hAnsi="Century Gothic"/>
                <w:sz w:val="20"/>
                <w:szCs w:val="20"/>
                <w:vertAlign w:val="superscript"/>
              </w:rPr>
              <w:t xml:space="preserve"> </w:t>
            </w:r>
            <w:r w:rsidRPr="00B93986">
              <w:rPr>
                <w:rFonts w:ascii="Century Gothic" w:hAnsi="Century Gothic"/>
                <w:sz w:val="20"/>
                <w:szCs w:val="20"/>
                <w:vertAlign w:val="superscript"/>
              </w:rPr>
              <w:t xml:space="preserve"> </w:t>
            </w:r>
            <w:r w:rsidR="00C94EB7" w:rsidRPr="00B93986">
              <w:rPr>
                <w:rFonts w:ascii="Century Gothic" w:hAnsi="Century Gothic"/>
                <w:sz w:val="20"/>
                <w:szCs w:val="20"/>
              </w:rPr>
              <w:t xml:space="preserve">(50,000 ha) </w:t>
            </w:r>
            <w:r w:rsidRPr="00B93986">
              <w:rPr>
                <w:rFonts w:ascii="Century Gothic" w:hAnsi="Century Gothic"/>
                <w:sz w:val="20"/>
                <w:szCs w:val="20"/>
              </w:rPr>
              <w:t xml:space="preserve">patch size </w:t>
            </w:r>
            <w:r w:rsidR="00C94EB7" w:rsidRPr="00B93986">
              <w:rPr>
                <w:rFonts w:ascii="Century Gothic" w:hAnsi="Century Gothic"/>
                <w:sz w:val="20"/>
                <w:szCs w:val="20"/>
              </w:rPr>
              <w:t xml:space="preserve"> </w:t>
            </w:r>
          </w:p>
          <w:p w:rsidR="00910FB9" w:rsidRPr="00B93986" w:rsidRDefault="00253407" w:rsidP="0025593D">
            <w:pPr>
              <w:pStyle w:val="NoSpacing"/>
              <w:rPr>
                <w:rFonts w:ascii="Century Gothic" w:hAnsi="Century Gothic"/>
                <w:i/>
                <w:sz w:val="20"/>
                <w:szCs w:val="20"/>
              </w:rPr>
            </w:pPr>
            <w:r w:rsidRPr="00B93986">
              <w:rPr>
                <w:rFonts w:ascii="Century Gothic" w:hAnsi="Century Gothic"/>
                <w:i/>
                <w:sz w:val="20"/>
                <w:szCs w:val="20"/>
              </w:rPr>
              <w:t xml:space="preserve"> </w:t>
            </w:r>
          </w:p>
        </w:tc>
        <w:tc>
          <w:tcPr>
            <w:tcW w:w="4111" w:type="dxa"/>
          </w:tcPr>
          <w:p w:rsidR="00253407" w:rsidRPr="00B93986" w:rsidRDefault="00253407" w:rsidP="004B3B9A">
            <w:pPr>
              <w:pStyle w:val="NoSpacing"/>
              <w:ind w:firstLine="284"/>
              <w:rPr>
                <w:rFonts w:ascii="Century Gothic" w:hAnsi="Century Gothic"/>
                <w:sz w:val="20"/>
                <w:szCs w:val="20"/>
              </w:rPr>
            </w:pPr>
            <w:r w:rsidRPr="00B93986">
              <w:rPr>
                <w:rFonts w:ascii="Century Gothic" w:hAnsi="Century Gothic"/>
                <w:sz w:val="20"/>
                <w:szCs w:val="20"/>
              </w:rPr>
              <w:t>All patches &gt;500 km</w:t>
            </w:r>
            <w:r w:rsidRPr="00B93986">
              <w:rPr>
                <w:rFonts w:ascii="Century Gothic" w:hAnsi="Century Gothic"/>
                <w:sz w:val="20"/>
                <w:szCs w:val="20"/>
                <w:vertAlign w:val="superscript"/>
              </w:rPr>
              <w:t>2</w:t>
            </w:r>
            <w:r w:rsidRPr="00B93986">
              <w:rPr>
                <w:rFonts w:ascii="Century Gothic" w:hAnsi="Century Gothic"/>
                <w:sz w:val="20"/>
                <w:szCs w:val="20"/>
              </w:rPr>
              <w:t xml:space="preserve"> contiguous and intact</w:t>
            </w:r>
            <w:r w:rsidR="00C94EB7" w:rsidRPr="00B93986">
              <w:rPr>
                <w:rFonts w:ascii="Century Gothic" w:hAnsi="Century Gothic"/>
                <w:sz w:val="20"/>
                <w:szCs w:val="20"/>
              </w:rPr>
              <w:t>.  This i</w:t>
            </w:r>
            <w:r w:rsidRPr="00B93986">
              <w:rPr>
                <w:rFonts w:ascii="Century Gothic" w:hAnsi="Century Gothic"/>
                <w:sz w:val="20"/>
                <w:szCs w:val="20"/>
              </w:rPr>
              <w:t>ncludes patches contiguous with IFL outside the FMU</w:t>
            </w:r>
            <w:r w:rsidR="00C94EB7" w:rsidRPr="00B93986">
              <w:rPr>
                <w:rFonts w:ascii="Century Gothic" w:hAnsi="Century Gothic"/>
                <w:sz w:val="20"/>
                <w:szCs w:val="20"/>
              </w:rPr>
              <w:t xml:space="preserve">.  The Area of ecological influence (AEI) of the contiguous IFL will be considered in a later analysis.  </w:t>
            </w:r>
          </w:p>
        </w:tc>
      </w:tr>
      <w:tr w:rsidR="00910FB9" w:rsidRPr="00B93986" w:rsidTr="00571482">
        <w:tc>
          <w:tcPr>
            <w:tcW w:w="1384" w:type="dxa"/>
          </w:tcPr>
          <w:p w:rsidR="00910FB9" w:rsidRPr="00B93986" w:rsidRDefault="00910FB9" w:rsidP="0025593D">
            <w:pPr>
              <w:pStyle w:val="NoSpacing"/>
              <w:rPr>
                <w:rFonts w:ascii="Century Gothic" w:hAnsi="Century Gothic"/>
                <w:sz w:val="20"/>
                <w:szCs w:val="20"/>
              </w:rPr>
            </w:pPr>
            <w:r w:rsidRPr="00B93986">
              <w:rPr>
                <w:rFonts w:ascii="Century Gothic" w:hAnsi="Century Gothic"/>
                <w:sz w:val="20"/>
                <w:szCs w:val="20"/>
              </w:rPr>
              <w:t>Disturbance</w:t>
            </w:r>
          </w:p>
        </w:tc>
        <w:tc>
          <w:tcPr>
            <w:tcW w:w="3827" w:type="dxa"/>
          </w:tcPr>
          <w:p w:rsidR="00910FB9" w:rsidRPr="00B93986" w:rsidRDefault="00910FB9" w:rsidP="0025593D">
            <w:pPr>
              <w:pStyle w:val="NoSpacing"/>
              <w:rPr>
                <w:rFonts w:ascii="Century Gothic" w:hAnsi="Century Gothic"/>
                <w:sz w:val="20"/>
                <w:szCs w:val="20"/>
              </w:rPr>
            </w:pPr>
            <w:r w:rsidRPr="00B93986">
              <w:rPr>
                <w:rFonts w:ascii="Century Gothic" w:hAnsi="Century Gothic"/>
                <w:sz w:val="20"/>
                <w:szCs w:val="20"/>
              </w:rPr>
              <w:t>&lt;5% affected by recent human disturbance</w:t>
            </w:r>
            <w:r w:rsidR="00965D99" w:rsidRPr="00B93986">
              <w:rPr>
                <w:rFonts w:ascii="Century Gothic" w:hAnsi="Century Gothic"/>
                <w:sz w:val="20"/>
                <w:szCs w:val="20"/>
              </w:rPr>
              <w:t xml:space="preserve"> </w:t>
            </w:r>
          </w:p>
          <w:p w:rsidR="00965D99" w:rsidRPr="00B93986" w:rsidRDefault="006E661D" w:rsidP="0025593D">
            <w:pPr>
              <w:pStyle w:val="NoSpacing"/>
              <w:rPr>
                <w:rFonts w:ascii="Century Gothic" w:hAnsi="Century Gothic"/>
                <w:i/>
                <w:sz w:val="20"/>
                <w:szCs w:val="20"/>
              </w:rPr>
            </w:pPr>
            <w:r w:rsidRPr="00B93986">
              <w:rPr>
                <w:rFonts w:ascii="Century Gothic" w:hAnsi="Century Gothic"/>
                <w:i/>
                <w:sz w:val="20"/>
                <w:szCs w:val="20"/>
              </w:rPr>
              <w:t xml:space="preserve"> </w:t>
            </w:r>
            <w:r w:rsidR="00965D99" w:rsidRPr="00B93986">
              <w:rPr>
                <w:rFonts w:ascii="Century Gothic" w:hAnsi="Century Gothic"/>
                <w:i/>
                <w:sz w:val="20"/>
                <w:szCs w:val="20"/>
              </w:rPr>
              <w:t xml:space="preserve"> </w:t>
            </w:r>
          </w:p>
        </w:tc>
        <w:tc>
          <w:tcPr>
            <w:tcW w:w="4111" w:type="dxa"/>
          </w:tcPr>
          <w:p w:rsidR="00910FB9" w:rsidRPr="00B93986" w:rsidRDefault="00571482" w:rsidP="00337814">
            <w:pPr>
              <w:pStyle w:val="NoSpacing"/>
              <w:ind w:firstLine="284"/>
              <w:rPr>
                <w:rFonts w:ascii="Century Gothic" w:hAnsi="Century Gothic"/>
                <w:sz w:val="20"/>
                <w:szCs w:val="20"/>
              </w:rPr>
            </w:pPr>
            <w:r w:rsidRPr="00B93986">
              <w:rPr>
                <w:rFonts w:ascii="Century Gothic" w:hAnsi="Century Gothic"/>
                <w:sz w:val="20"/>
                <w:szCs w:val="20"/>
              </w:rPr>
              <w:t xml:space="preserve">Intent is that one or two roads into an IFL </w:t>
            </w:r>
            <w:r w:rsidR="00EF7A1E" w:rsidRPr="00B93986">
              <w:rPr>
                <w:rFonts w:ascii="Century Gothic" w:hAnsi="Century Gothic"/>
                <w:sz w:val="20"/>
                <w:szCs w:val="20"/>
              </w:rPr>
              <w:t>do</w:t>
            </w:r>
            <w:r w:rsidRPr="00B93986">
              <w:rPr>
                <w:rFonts w:ascii="Century Gothic" w:hAnsi="Century Gothic"/>
                <w:sz w:val="20"/>
                <w:szCs w:val="20"/>
              </w:rPr>
              <w:t xml:space="preserve"> not invalidate the whole IFL.  The 5% disturbance measure should be applied strictly and include the appropriate buffering around roads and other disturbances.  </w:t>
            </w:r>
          </w:p>
        </w:tc>
      </w:tr>
      <w:tr w:rsidR="00910FB9" w:rsidRPr="00B93986" w:rsidTr="00571482">
        <w:tc>
          <w:tcPr>
            <w:tcW w:w="1384" w:type="dxa"/>
          </w:tcPr>
          <w:p w:rsidR="00910FB9" w:rsidRPr="00B93986" w:rsidRDefault="00910FB9" w:rsidP="0025593D">
            <w:pPr>
              <w:pStyle w:val="NoSpacing"/>
              <w:rPr>
                <w:rFonts w:ascii="Century Gothic" w:hAnsi="Century Gothic"/>
                <w:sz w:val="20"/>
                <w:szCs w:val="20"/>
              </w:rPr>
            </w:pPr>
            <w:r w:rsidRPr="00B93986">
              <w:rPr>
                <w:rFonts w:ascii="Century Gothic" w:hAnsi="Century Gothic"/>
                <w:sz w:val="20"/>
                <w:szCs w:val="20"/>
              </w:rPr>
              <w:t>Roads</w:t>
            </w:r>
            <w:r w:rsidR="00571482" w:rsidRPr="00B93986">
              <w:rPr>
                <w:rFonts w:ascii="Century Gothic" w:hAnsi="Century Gothic"/>
                <w:sz w:val="20"/>
                <w:szCs w:val="20"/>
              </w:rPr>
              <w:t xml:space="preserve"> and utility corridors</w:t>
            </w:r>
          </w:p>
        </w:tc>
        <w:tc>
          <w:tcPr>
            <w:tcW w:w="3827" w:type="dxa"/>
          </w:tcPr>
          <w:p w:rsidR="00571482" w:rsidRPr="00B93986" w:rsidRDefault="00910FB9" w:rsidP="0025593D">
            <w:pPr>
              <w:pStyle w:val="NoSpacing"/>
              <w:rPr>
                <w:rFonts w:ascii="Century Gothic" w:hAnsi="Century Gothic"/>
                <w:sz w:val="20"/>
                <w:szCs w:val="20"/>
              </w:rPr>
            </w:pPr>
            <w:r w:rsidRPr="00B93986">
              <w:rPr>
                <w:rFonts w:ascii="Century Gothic" w:hAnsi="Century Gothic"/>
                <w:sz w:val="20"/>
                <w:szCs w:val="20"/>
              </w:rPr>
              <w:t>Road disturbance</w:t>
            </w:r>
            <w:r w:rsidR="00766702" w:rsidRPr="00B93986">
              <w:rPr>
                <w:rFonts w:ascii="Century Gothic" w:hAnsi="Century Gothic"/>
                <w:sz w:val="20"/>
                <w:szCs w:val="20"/>
              </w:rPr>
              <w:t xml:space="preserve"> and corridors should be defined using local</w:t>
            </w:r>
            <w:r w:rsidRPr="00B93986">
              <w:rPr>
                <w:rFonts w:ascii="Century Gothic" w:hAnsi="Century Gothic"/>
                <w:sz w:val="20"/>
                <w:szCs w:val="20"/>
              </w:rPr>
              <w:t xml:space="preserve"> road classification</w:t>
            </w:r>
            <w:r w:rsidR="00766702" w:rsidRPr="00B93986">
              <w:rPr>
                <w:rFonts w:ascii="Century Gothic" w:hAnsi="Century Gothic"/>
                <w:sz w:val="20"/>
                <w:szCs w:val="20"/>
              </w:rPr>
              <w:t xml:space="preserve"> methods.  Buffers around these disturbances should </w:t>
            </w:r>
            <w:r w:rsidR="00766702" w:rsidRPr="00B93986">
              <w:rPr>
                <w:rFonts w:ascii="Century Gothic" w:hAnsi="Century Gothic"/>
                <w:sz w:val="20"/>
                <w:szCs w:val="20"/>
              </w:rPr>
              <w:lastRenderedPageBreak/>
              <w:t>follow regional guidance.   Alternatively here are buffers used by one company:</w:t>
            </w:r>
            <w:r w:rsidR="00571482" w:rsidRPr="00B93986">
              <w:rPr>
                <w:rFonts w:ascii="Century Gothic" w:hAnsi="Century Gothic"/>
                <w:sz w:val="20"/>
                <w:szCs w:val="20"/>
              </w:rPr>
              <w:t xml:space="preserve"> </w:t>
            </w:r>
          </w:p>
          <w:p w:rsidR="00571482" w:rsidRPr="00B93986" w:rsidRDefault="00571482" w:rsidP="0025593D">
            <w:pPr>
              <w:pStyle w:val="NoSpacing"/>
              <w:rPr>
                <w:rFonts w:ascii="Century Gothic" w:hAnsi="Century Gothic"/>
                <w:sz w:val="20"/>
                <w:szCs w:val="20"/>
              </w:rPr>
            </w:pPr>
            <w:r w:rsidRPr="00B93986">
              <w:rPr>
                <w:rFonts w:ascii="Century Gothic" w:hAnsi="Century Gothic"/>
                <w:sz w:val="20"/>
                <w:szCs w:val="20"/>
              </w:rPr>
              <w:t>Harvest blocks</w:t>
            </w:r>
            <w:r w:rsidRPr="00B93986">
              <w:rPr>
                <w:rFonts w:ascii="Century Gothic" w:hAnsi="Century Gothic"/>
                <w:sz w:val="20"/>
                <w:szCs w:val="20"/>
              </w:rPr>
              <w:tab/>
            </w:r>
            <w:r w:rsidR="0025593D" w:rsidRPr="00B93986">
              <w:rPr>
                <w:rFonts w:ascii="Century Gothic" w:hAnsi="Century Gothic"/>
                <w:sz w:val="20"/>
                <w:szCs w:val="20"/>
              </w:rPr>
              <w:t xml:space="preserve">                             </w:t>
            </w:r>
            <w:r w:rsidRPr="00B93986">
              <w:rPr>
                <w:rFonts w:ascii="Century Gothic" w:hAnsi="Century Gothic"/>
                <w:sz w:val="20"/>
                <w:szCs w:val="20"/>
              </w:rPr>
              <w:t>0 m</w:t>
            </w:r>
          </w:p>
          <w:p w:rsidR="00571482" w:rsidRPr="00B93986" w:rsidRDefault="00571482" w:rsidP="0025593D">
            <w:pPr>
              <w:pStyle w:val="NoSpacing"/>
              <w:rPr>
                <w:rFonts w:ascii="Century Gothic" w:hAnsi="Century Gothic"/>
                <w:sz w:val="20"/>
                <w:szCs w:val="20"/>
              </w:rPr>
            </w:pPr>
            <w:r w:rsidRPr="00B93986">
              <w:rPr>
                <w:rFonts w:ascii="Century Gothic" w:hAnsi="Century Gothic"/>
                <w:sz w:val="20"/>
                <w:szCs w:val="20"/>
              </w:rPr>
              <w:t xml:space="preserve">Highways                            </w:t>
            </w:r>
            <w:r w:rsidRPr="00B93986">
              <w:rPr>
                <w:rFonts w:ascii="Century Gothic" w:hAnsi="Century Gothic"/>
                <w:sz w:val="20"/>
                <w:szCs w:val="20"/>
              </w:rPr>
              <w:tab/>
              <w:t>500m</w:t>
            </w:r>
          </w:p>
          <w:p w:rsidR="00571482" w:rsidRPr="00B93986" w:rsidRDefault="00571482" w:rsidP="0025593D">
            <w:pPr>
              <w:pStyle w:val="NoSpacing"/>
              <w:rPr>
                <w:rFonts w:ascii="Century Gothic" w:hAnsi="Century Gothic"/>
                <w:sz w:val="20"/>
                <w:szCs w:val="20"/>
              </w:rPr>
            </w:pPr>
            <w:r w:rsidRPr="00B93986">
              <w:rPr>
                <w:rFonts w:ascii="Century Gothic" w:hAnsi="Century Gothic"/>
                <w:sz w:val="20"/>
                <w:szCs w:val="20"/>
              </w:rPr>
              <w:t xml:space="preserve">Municipal/Town Roads   </w:t>
            </w:r>
            <w:r w:rsidRPr="00B93986">
              <w:rPr>
                <w:rFonts w:ascii="Century Gothic" w:hAnsi="Century Gothic"/>
                <w:sz w:val="20"/>
                <w:szCs w:val="20"/>
              </w:rPr>
              <w:tab/>
              <w:t>250m</w:t>
            </w:r>
          </w:p>
          <w:p w:rsidR="00571482" w:rsidRPr="00B93986" w:rsidRDefault="00571482" w:rsidP="0025593D">
            <w:pPr>
              <w:pStyle w:val="NoSpacing"/>
              <w:rPr>
                <w:rFonts w:ascii="Century Gothic" w:hAnsi="Century Gothic"/>
                <w:sz w:val="20"/>
                <w:szCs w:val="20"/>
              </w:rPr>
            </w:pPr>
            <w:r w:rsidRPr="00B93986">
              <w:rPr>
                <w:rFonts w:ascii="Century Gothic" w:hAnsi="Century Gothic"/>
                <w:sz w:val="20"/>
                <w:szCs w:val="20"/>
              </w:rPr>
              <w:t xml:space="preserve">Primary Roads                  </w:t>
            </w:r>
            <w:r w:rsidRPr="00B93986">
              <w:rPr>
                <w:rFonts w:ascii="Century Gothic" w:hAnsi="Century Gothic"/>
                <w:sz w:val="20"/>
                <w:szCs w:val="20"/>
              </w:rPr>
              <w:tab/>
              <w:t>100m</w:t>
            </w:r>
          </w:p>
          <w:p w:rsidR="00571482" w:rsidRPr="00B93986" w:rsidRDefault="00571482" w:rsidP="0025593D">
            <w:pPr>
              <w:pStyle w:val="NoSpacing"/>
              <w:rPr>
                <w:rFonts w:ascii="Century Gothic" w:hAnsi="Century Gothic"/>
                <w:sz w:val="20"/>
                <w:szCs w:val="20"/>
              </w:rPr>
            </w:pPr>
            <w:r w:rsidRPr="00B93986">
              <w:rPr>
                <w:rFonts w:ascii="Century Gothic" w:hAnsi="Century Gothic"/>
                <w:sz w:val="20"/>
                <w:szCs w:val="20"/>
              </w:rPr>
              <w:t xml:space="preserve">Branch Roads              </w:t>
            </w:r>
            <w:r w:rsidRPr="00B93986">
              <w:rPr>
                <w:rFonts w:ascii="Century Gothic" w:hAnsi="Century Gothic"/>
                <w:sz w:val="20"/>
                <w:szCs w:val="20"/>
              </w:rPr>
              <w:tab/>
            </w:r>
            <w:r w:rsidR="0025593D" w:rsidRPr="00B93986">
              <w:rPr>
                <w:rFonts w:ascii="Century Gothic" w:hAnsi="Century Gothic"/>
                <w:sz w:val="20"/>
                <w:szCs w:val="20"/>
              </w:rPr>
              <w:t xml:space="preserve">               </w:t>
            </w:r>
            <w:r w:rsidRPr="00B93986">
              <w:rPr>
                <w:rFonts w:ascii="Century Gothic" w:hAnsi="Century Gothic"/>
                <w:sz w:val="20"/>
                <w:szCs w:val="20"/>
              </w:rPr>
              <w:t>50m</w:t>
            </w:r>
          </w:p>
          <w:p w:rsidR="00571482" w:rsidRPr="00B93986" w:rsidRDefault="00571482" w:rsidP="0025593D">
            <w:pPr>
              <w:pStyle w:val="NoSpacing"/>
              <w:rPr>
                <w:rFonts w:ascii="Century Gothic" w:hAnsi="Century Gothic"/>
                <w:sz w:val="20"/>
                <w:szCs w:val="20"/>
              </w:rPr>
            </w:pPr>
            <w:r w:rsidRPr="00B93986">
              <w:rPr>
                <w:rFonts w:ascii="Century Gothic" w:hAnsi="Century Gothic"/>
                <w:sz w:val="20"/>
                <w:szCs w:val="20"/>
              </w:rPr>
              <w:t xml:space="preserve">Railways                             </w:t>
            </w:r>
            <w:r w:rsidRPr="00B93986">
              <w:rPr>
                <w:rFonts w:ascii="Century Gothic" w:hAnsi="Century Gothic"/>
                <w:sz w:val="20"/>
                <w:szCs w:val="20"/>
              </w:rPr>
              <w:tab/>
              <w:t>250m</w:t>
            </w:r>
          </w:p>
          <w:p w:rsidR="00571482" w:rsidRPr="00B93986" w:rsidRDefault="00571482" w:rsidP="0025593D">
            <w:pPr>
              <w:pStyle w:val="NoSpacing"/>
              <w:rPr>
                <w:rFonts w:ascii="Century Gothic" w:hAnsi="Century Gothic"/>
                <w:sz w:val="20"/>
                <w:szCs w:val="20"/>
              </w:rPr>
            </w:pPr>
            <w:r w:rsidRPr="00B93986">
              <w:rPr>
                <w:rFonts w:ascii="Century Gothic" w:hAnsi="Century Gothic"/>
                <w:sz w:val="20"/>
                <w:szCs w:val="20"/>
              </w:rPr>
              <w:t xml:space="preserve">Utility/Pipe Lines              </w:t>
            </w:r>
            <w:r w:rsidRPr="00B93986">
              <w:rPr>
                <w:rFonts w:ascii="Century Gothic" w:hAnsi="Century Gothic"/>
                <w:sz w:val="20"/>
                <w:szCs w:val="20"/>
              </w:rPr>
              <w:tab/>
              <w:t>50m</w:t>
            </w:r>
          </w:p>
          <w:p w:rsidR="00965D99" w:rsidRPr="00B93986" w:rsidRDefault="00965D99" w:rsidP="0025593D">
            <w:pPr>
              <w:pStyle w:val="NoSpacing"/>
              <w:rPr>
                <w:rFonts w:ascii="Century Gothic" w:hAnsi="Century Gothic"/>
                <w:sz w:val="20"/>
                <w:szCs w:val="20"/>
              </w:rPr>
            </w:pPr>
          </w:p>
        </w:tc>
        <w:tc>
          <w:tcPr>
            <w:tcW w:w="4111" w:type="dxa"/>
          </w:tcPr>
          <w:p w:rsidR="00571482" w:rsidRPr="00B93986" w:rsidRDefault="00766702" w:rsidP="004B3B9A">
            <w:pPr>
              <w:pStyle w:val="NoSpacing"/>
              <w:ind w:firstLine="284"/>
              <w:rPr>
                <w:rFonts w:ascii="Century Gothic" w:hAnsi="Century Gothic"/>
                <w:sz w:val="20"/>
                <w:szCs w:val="20"/>
              </w:rPr>
            </w:pPr>
            <w:r w:rsidRPr="00B93986">
              <w:rPr>
                <w:rFonts w:ascii="Century Gothic" w:hAnsi="Century Gothic"/>
                <w:sz w:val="20"/>
                <w:szCs w:val="20"/>
              </w:rPr>
              <w:lastRenderedPageBreak/>
              <w:t>The buffers suggested at left are f</w:t>
            </w:r>
            <w:r w:rsidR="00571482" w:rsidRPr="00B93986">
              <w:rPr>
                <w:rFonts w:ascii="Century Gothic" w:hAnsi="Century Gothic"/>
                <w:sz w:val="20"/>
                <w:szCs w:val="20"/>
              </w:rPr>
              <w:t xml:space="preserve">rom the first case study, which are consistent with Caribou guidelines in some parts of Canada.  </w:t>
            </w:r>
          </w:p>
          <w:p w:rsidR="006E661D" w:rsidRPr="00B93986" w:rsidRDefault="00571482" w:rsidP="004B3B9A">
            <w:pPr>
              <w:pStyle w:val="NoSpacing"/>
              <w:ind w:firstLine="284"/>
              <w:rPr>
                <w:rFonts w:ascii="Century Gothic" w:hAnsi="Century Gothic"/>
                <w:sz w:val="20"/>
                <w:szCs w:val="20"/>
              </w:rPr>
            </w:pPr>
            <w:r w:rsidRPr="00B93986">
              <w:rPr>
                <w:rFonts w:ascii="Century Gothic" w:hAnsi="Century Gothic"/>
                <w:sz w:val="20"/>
                <w:szCs w:val="20"/>
              </w:rPr>
              <w:lastRenderedPageBreak/>
              <w:t xml:space="preserve">Note that the road and buffer are used to include in the &lt;5% disturbance for an IFL.    </w:t>
            </w:r>
          </w:p>
          <w:p w:rsidR="00910FB9" w:rsidRPr="00B93986" w:rsidRDefault="006E661D" w:rsidP="004B3B9A">
            <w:pPr>
              <w:pStyle w:val="NoSpacing"/>
              <w:ind w:firstLine="284"/>
              <w:rPr>
                <w:rFonts w:ascii="Century Gothic" w:hAnsi="Century Gothic"/>
                <w:sz w:val="20"/>
                <w:szCs w:val="20"/>
              </w:rPr>
            </w:pPr>
            <w:r w:rsidRPr="00B93986">
              <w:rPr>
                <w:rFonts w:ascii="Century Gothic" w:hAnsi="Century Gothic"/>
                <w:sz w:val="20"/>
                <w:szCs w:val="20"/>
              </w:rPr>
              <w:t xml:space="preserve">It is not appropriate to allow </w:t>
            </w:r>
            <w:r w:rsidR="00766702" w:rsidRPr="00B93986">
              <w:rPr>
                <w:rFonts w:ascii="Century Gothic" w:hAnsi="Century Gothic"/>
                <w:sz w:val="20"/>
                <w:szCs w:val="20"/>
              </w:rPr>
              <w:t xml:space="preserve">for additional future </w:t>
            </w:r>
            <w:r w:rsidRPr="00B93986">
              <w:rPr>
                <w:rFonts w:ascii="Century Gothic" w:hAnsi="Century Gothic"/>
                <w:sz w:val="20"/>
                <w:szCs w:val="20"/>
              </w:rPr>
              <w:t xml:space="preserve">road building up to the 5% disturbance level.  IFLs with a very low level of disturbance may have unforeseen road building occurring in the future, for example from other tenure holders.  The 5% is not intended to be used for new forestry. </w:t>
            </w:r>
            <w:r w:rsidR="00571482" w:rsidRPr="00B93986">
              <w:rPr>
                <w:rFonts w:ascii="Century Gothic" w:hAnsi="Century Gothic"/>
                <w:strike/>
                <w:sz w:val="20"/>
                <w:szCs w:val="20"/>
              </w:rPr>
              <w:t xml:space="preserve"> </w:t>
            </w:r>
          </w:p>
        </w:tc>
      </w:tr>
      <w:tr w:rsidR="00910FB9" w:rsidRPr="00B93986" w:rsidTr="00571482">
        <w:tc>
          <w:tcPr>
            <w:tcW w:w="1384" w:type="dxa"/>
          </w:tcPr>
          <w:p w:rsidR="00910FB9" w:rsidRPr="00B93986" w:rsidRDefault="00571482" w:rsidP="0025593D">
            <w:pPr>
              <w:pStyle w:val="NoSpacing"/>
              <w:rPr>
                <w:rFonts w:ascii="Century Gothic" w:hAnsi="Century Gothic"/>
                <w:sz w:val="20"/>
                <w:szCs w:val="20"/>
              </w:rPr>
            </w:pPr>
            <w:r w:rsidRPr="00B93986">
              <w:rPr>
                <w:rFonts w:ascii="Century Gothic" w:hAnsi="Century Gothic"/>
                <w:sz w:val="20"/>
                <w:szCs w:val="20"/>
              </w:rPr>
              <w:lastRenderedPageBreak/>
              <w:t>Minimum width</w:t>
            </w:r>
          </w:p>
        </w:tc>
        <w:tc>
          <w:tcPr>
            <w:tcW w:w="3827" w:type="dxa"/>
          </w:tcPr>
          <w:p w:rsidR="00910FB9" w:rsidRPr="00B93986" w:rsidRDefault="00571482" w:rsidP="00337814">
            <w:pPr>
              <w:pStyle w:val="NoSpacing"/>
              <w:rPr>
                <w:rFonts w:ascii="Century Gothic" w:hAnsi="Century Gothic"/>
                <w:sz w:val="20"/>
                <w:szCs w:val="20"/>
              </w:rPr>
            </w:pPr>
            <w:r w:rsidRPr="00B93986">
              <w:rPr>
                <w:rFonts w:ascii="Century Gothic" w:hAnsi="Century Gothic"/>
                <w:sz w:val="20"/>
                <w:szCs w:val="20"/>
              </w:rPr>
              <w:t>The</w:t>
            </w:r>
            <w:r w:rsidR="006E661D" w:rsidRPr="00B93986">
              <w:rPr>
                <w:rFonts w:ascii="Century Gothic" w:hAnsi="Century Gothic"/>
                <w:sz w:val="20"/>
                <w:szCs w:val="20"/>
              </w:rPr>
              <w:t xml:space="preserve"> minimum width </w:t>
            </w:r>
            <w:r w:rsidR="00337814" w:rsidRPr="00B93986">
              <w:rPr>
                <w:rFonts w:ascii="Century Gothic" w:hAnsi="Century Gothic"/>
                <w:sz w:val="20"/>
                <w:szCs w:val="20"/>
              </w:rPr>
              <w:t xml:space="preserve">of an IFL </w:t>
            </w:r>
            <w:r w:rsidR="006E661D" w:rsidRPr="00B93986">
              <w:rPr>
                <w:rFonts w:ascii="Century Gothic" w:hAnsi="Century Gothic"/>
                <w:sz w:val="20"/>
                <w:szCs w:val="20"/>
              </w:rPr>
              <w:t xml:space="preserve">is ten km as measured by a 10 km diameter circle that is entirely within the boundaries of the territory). </w:t>
            </w:r>
          </w:p>
        </w:tc>
        <w:tc>
          <w:tcPr>
            <w:tcW w:w="4111" w:type="dxa"/>
          </w:tcPr>
          <w:p w:rsidR="00910FB9" w:rsidRPr="00B93986" w:rsidRDefault="006E661D" w:rsidP="004B3B9A">
            <w:pPr>
              <w:pStyle w:val="NoSpacing"/>
              <w:ind w:firstLine="284"/>
              <w:rPr>
                <w:rFonts w:ascii="Century Gothic" w:hAnsi="Century Gothic"/>
                <w:sz w:val="20"/>
                <w:szCs w:val="20"/>
              </w:rPr>
            </w:pPr>
            <w:r w:rsidRPr="00B93986">
              <w:rPr>
                <w:rFonts w:ascii="Century Gothic" w:hAnsi="Century Gothic"/>
                <w:sz w:val="20"/>
                <w:szCs w:val="20"/>
              </w:rPr>
              <w:t xml:space="preserve">A circle of this diameter has an area of 7850 </w:t>
            </w:r>
            <w:r w:rsidR="004B3B9A" w:rsidRPr="00B93986">
              <w:rPr>
                <w:rFonts w:ascii="Century Gothic" w:hAnsi="Century Gothic"/>
                <w:sz w:val="20"/>
                <w:szCs w:val="20"/>
              </w:rPr>
              <w:t>ha.</w:t>
            </w:r>
            <w:r w:rsidRPr="00B93986">
              <w:rPr>
                <w:rFonts w:ascii="Century Gothic" w:hAnsi="Century Gothic"/>
                <w:sz w:val="20"/>
                <w:szCs w:val="20"/>
              </w:rPr>
              <w:t xml:space="preserve">  The intent of this criterion is to safeguard against long narrow IFLs which would be difficult to calculate and not really the intent of the IFL concept. </w:t>
            </w:r>
          </w:p>
        </w:tc>
      </w:tr>
      <w:tr w:rsidR="00910FB9" w:rsidRPr="00B93986" w:rsidTr="00571482">
        <w:tc>
          <w:tcPr>
            <w:tcW w:w="1384" w:type="dxa"/>
          </w:tcPr>
          <w:p w:rsidR="006E661D" w:rsidRPr="00B93986" w:rsidRDefault="006E661D" w:rsidP="0025593D">
            <w:pPr>
              <w:pStyle w:val="NoSpacing"/>
              <w:rPr>
                <w:rFonts w:ascii="Century Gothic" w:hAnsi="Century Gothic"/>
                <w:sz w:val="20"/>
                <w:szCs w:val="20"/>
              </w:rPr>
            </w:pPr>
            <w:r w:rsidRPr="00B93986">
              <w:rPr>
                <w:rFonts w:ascii="Century Gothic" w:hAnsi="Century Gothic"/>
                <w:sz w:val="20"/>
                <w:szCs w:val="20"/>
              </w:rPr>
              <w:t>Non Forest -</w:t>
            </w:r>
          </w:p>
          <w:p w:rsidR="00910FB9" w:rsidRPr="00B93986" w:rsidRDefault="00910FB9" w:rsidP="0025593D">
            <w:pPr>
              <w:pStyle w:val="NoSpacing"/>
              <w:rPr>
                <w:rFonts w:ascii="Century Gothic" w:hAnsi="Century Gothic"/>
                <w:sz w:val="20"/>
                <w:szCs w:val="20"/>
              </w:rPr>
            </w:pPr>
            <w:r w:rsidRPr="00B93986">
              <w:rPr>
                <w:rFonts w:ascii="Century Gothic" w:hAnsi="Century Gothic"/>
                <w:sz w:val="20"/>
                <w:szCs w:val="20"/>
              </w:rPr>
              <w:t>Rock</w:t>
            </w:r>
          </w:p>
        </w:tc>
        <w:tc>
          <w:tcPr>
            <w:tcW w:w="3827" w:type="dxa"/>
          </w:tcPr>
          <w:p w:rsidR="00910FB9" w:rsidRPr="00B93986" w:rsidRDefault="00691972" w:rsidP="001024B0">
            <w:pPr>
              <w:pStyle w:val="NoSpacing"/>
              <w:rPr>
                <w:rFonts w:ascii="Century Gothic" w:hAnsi="Century Gothic"/>
                <w:sz w:val="20"/>
                <w:szCs w:val="20"/>
              </w:rPr>
            </w:pPr>
            <w:r w:rsidRPr="00B93986">
              <w:rPr>
                <w:rFonts w:ascii="Century Gothic" w:hAnsi="Century Gothic"/>
                <w:sz w:val="20"/>
                <w:szCs w:val="20"/>
              </w:rPr>
              <w:t xml:space="preserve">Bare rock of any </w:t>
            </w:r>
            <w:r w:rsidR="001024B0" w:rsidRPr="00B93986">
              <w:rPr>
                <w:rFonts w:ascii="Century Gothic" w:hAnsi="Century Gothic"/>
                <w:sz w:val="20"/>
                <w:szCs w:val="20"/>
              </w:rPr>
              <w:t>extent can</w:t>
            </w:r>
            <w:r w:rsidR="001C1D71" w:rsidRPr="00B93986">
              <w:rPr>
                <w:rFonts w:ascii="Century Gothic" w:hAnsi="Century Gothic"/>
                <w:sz w:val="20"/>
                <w:szCs w:val="20"/>
              </w:rPr>
              <w:t xml:space="preserve"> be </w:t>
            </w:r>
            <w:r w:rsidR="006E661D" w:rsidRPr="00B93986">
              <w:rPr>
                <w:rFonts w:ascii="Century Gothic" w:hAnsi="Century Gothic"/>
                <w:sz w:val="20"/>
                <w:szCs w:val="20"/>
              </w:rPr>
              <w:t>included.  There are</w:t>
            </w:r>
            <w:r w:rsidR="001C1D71" w:rsidRPr="00B93986">
              <w:rPr>
                <w:rFonts w:ascii="Century Gothic" w:hAnsi="Century Gothic"/>
                <w:sz w:val="20"/>
                <w:szCs w:val="20"/>
              </w:rPr>
              <w:t xml:space="preserve"> no constraints on the total area. </w:t>
            </w:r>
          </w:p>
          <w:p w:rsidR="001024B0" w:rsidRPr="00B93986" w:rsidRDefault="001024B0" w:rsidP="001024B0">
            <w:pPr>
              <w:pStyle w:val="NoSpacing"/>
              <w:rPr>
                <w:rFonts w:ascii="Century Gothic" w:hAnsi="Century Gothic"/>
                <w:sz w:val="20"/>
                <w:szCs w:val="20"/>
              </w:rPr>
            </w:pPr>
          </w:p>
        </w:tc>
        <w:tc>
          <w:tcPr>
            <w:tcW w:w="4111" w:type="dxa"/>
          </w:tcPr>
          <w:p w:rsidR="001024B0" w:rsidRPr="00B93986" w:rsidRDefault="001024B0" w:rsidP="001024B0">
            <w:pPr>
              <w:pStyle w:val="NoSpacing"/>
              <w:ind w:firstLine="284"/>
              <w:rPr>
                <w:rFonts w:ascii="Century Gothic" w:hAnsi="Century Gothic"/>
                <w:sz w:val="20"/>
                <w:szCs w:val="20"/>
              </w:rPr>
            </w:pPr>
            <w:r w:rsidRPr="00B93986">
              <w:rPr>
                <w:rFonts w:ascii="Century Gothic" w:hAnsi="Century Gothic"/>
                <w:sz w:val="20"/>
                <w:szCs w:val="20"/>
              </w:rPr>
              <w:t xml:space="preserve"> </w:t>
            </w:r>
            <w:r w:rsidR="006E661D" w:rsidRPr="00B93986">
              <w:rPr>
                <w:rFonts w:ascii="Century Gothic" w:hAnsi="Century Gothic"/>
                <w:sz w:val="20"/>
                <w:szCs w:val="20"/>
              </w:rPr>
              <w:t>There were no reasons for a maximum size limit, as there is for open water.   It is functional terrestrial habitat, and even in areas dominated by rock</w:t>
            </w:r>
            <w:r w:rsidR="0025593D" w:rsidRPr="00B93986">
              <w:rPr>
                <w:rFonts w:ascii="Century Gothic" w:hAnsi="Century Gothic"/>
                <w:sz w:val="20"/>
                <w:szCs w:val="20"/>
              </w:rPr>
              <w:t>,</w:t>
            </w:r>
            <w:r w:rsidR="006E661D" w:rsidRPr="00B93986">
              <w:rPr>
                <w:rFonts w:ascii="Century Gothic" w:hAnsi="Century Gothic"/>
                <w:sz w:val="20"/>
                <w:szCs w:val="20"/>
              </w:rPr>
              <w:t xml:space="preserve"> it appears consistent with the intent of an IFL. </w:t>
            </w:r>
          </w:p>
        </w:tc>
      </w:tr>
      <w:tr w:rsidR="00910FB9" w:rsidRPr="00B93986" w:rsidTr="00571482">
        <w:tc>
          <w:tcPr>
            <w:tcW w:w="1384" w:type="dxa"/>
          </w:tcPr>
          <w:p w:rsidR="00910FB9" w:rsidRPr="00B93986" w:rsidRDefault="006E661D" w:rsidP="0025593D">
            <w:pPr>
              <w:pStyle w:val="NoSpacing"/>
              <w:rPr>
                <w:rFonts w:ascii="Century Gothic" w:hAnsi="Century Gothic"/>
                <w:sz w:val="20"/>
                <w:szCs w:val="20"/>
              </w:rPr>
            </w:pPr>
            <w:r w:rsidRPr="00B93986">
              <w:rPr>
                <w:rFonts w:ascii="Century Gothic" w:hAnsi="Century Gothic"/>
                <w:sz w:val="20"/>
                <w:szCs w:val="20"/>
              </w:rPr>
              <w:t>Non Forest -</w:t>
            </w:r>
            <w:r w:rsidR="00910FB9" w:rsidRPr="00B93986">
              <w:rPr>
                <w:rFonts w:ascii="Century Gothic" w:hAnsi="Century Gothic"/>
                <w:sz w:val="20"/>
                <w:szCs w:val="20"/>
              </w:rPr>
              <w:t>Open water</w:t>
            </w:r>
          </w:p>
        </w:tc>
        <w:tc>
          <w:tcPr>
            <w:tcW w:w="3827" w:type="dxa"/>
          </w:tcPr>
          <w:p w:rsidR="000F3D68" w:rsidRPr="00B93986" w:rsidRDefault="000F3D68" w:rsidP="001024B0">
            <w:pPr>
              <w:pStyle w:val="NoSpacing"/>
              <w:rPr>
                <w:rFonts w:ascii="Century Gothic" w:hAnsi="Century Gothic"/>
                <w:sz w:val="20"/>
                <w:szCs w:val="20"/>
              </w:rPr>
            </w:pPr>
            <w:r w:rsidRPr="00B93986">
              <w:rPr>
                <w:rFonts w:ascii="Century Gothic" w:hAnsi="Century Gothic"/>
                <w:sz w:val="20"/>
                <w:szCs w:val="20"/>
              </w:rPr>
              <w:t>Open water can be included for up to 1 km off shore</w:t>
            </w:r>
            <w:r w:rsidR="001024B0" w:rsidRPr="00B93986">
              <w:rPr>
                <w:rFonts w:ascii="Century Gothic" w:hAnsi="Century Gothic"/>
                <w:sz w:val="20"/>
                <w:szCs w:val="20"/>
              </w:rPr>
              <w:t xml:space="preserve">, </w:t>
            </w:r>
            <w:r w:rsidRPr="00B93986">
              <w:rPr>
                <w:rFonts w:ascii="Century Gothic" w:hAnsi="Century Gothic"/>
                <w:sz w:val="20"/>
                <w:szCs w:val="20"/>
              </w:rPr>
              <w:t xml:space="preserve">an area that could be considered biologically functional for larger terrestrial animals.  </w:t>
            </w:r>
            <w:r w:rsidR="001024B0" w:rsidRPr="00B93986">
              <w:rPr>
                <w:rFonts w:ascii="Century Gothic" w:hAnsi="Century Gothic"/>
                <w:sz w:val="20"/>
                <w:szCs w:val="20"/>
              </w:rPr>
              <w:t xml:space="preserve">This can be included for a maximum length of maximum 10 km, after which the shoreline should be followed as the end of the IFL.  Larger areas are unlikely to occur, but if they do, please not these.  </w:t>
            </w:r>
            <w:r w:rsidR="006E661D" w:rsidRPr="00B93986">
              <w:rPr>
                <w:rFonts w:ascii="Century Gothic" w:hAnsi="Century Gothic"/>
                <w:sz w:val="20"/>
                <w:szCs w:val="20"/>
              </w:rPr>
              <w:t>The maximum area for a single contiguous block of open Lake water is 10,000 ha.</w:t>
            </w:r>
          </w:p>
        </w:tc>
        <w:tc>
          <w:tcPr>
            <w:tcW w:w="4111" w:type="dxa"/>
          </w:tcPr>
          <w:p w:rsidR="006E661D" w:rsidRPr="00B93986" w:rsidRDefault="006E661D" w:rsidP="004B3B9A">
            <w:pPr>
              <w:pStyle w:val="NoSpacing"/>
              <w:ind w:firstLine="284"/>
              <w:rPr>
                <w:rFonts w:ascii="Century Gothic" w:hAnsi="Century Gothic"/>
                <w:sz w:val="20"/>
                <w:szCs w:val="20"/>
              </w:rPr>
            </w:pPr>
            <w:r w:rsidRPr="00B93986">
              <w:rPr>
                <w:rFonts w:ascii="Century Gothic" w:hAnsi="Century Gothic"/>
                <w:sz w:val="20"/>
                <w:szCs w:val="20"/>
              </w:rPr>
              <w:t xml:space="preserve">Note that areas defined as wetland (bog, fen, marsh) are not be considered open water.  </w:t>
            </w:r>
          </w:p>
          <w:p w:rsidR="006E661D" w:rsidRPr="00B93986" w:rsidRDefault="006E661D" w:rsidP="004B3B9A">
            <w:pPr>
              <w:pStyle w:val="NoSpacing"/>
              <w:ind w:firstLine="284"/>
              <w:rPr>
                <w:rFonts w:ascii="Century Gothic" w:hAnsi="Century Gothic"/>
                <w:sz w:val="20"/>
                <w:szCs w:val="20"/>
              </w:rPr>
            </w:pPr>
            <w:r w:rsidRPr="00B93986">
              <w:rPr>
                <w:rFonts w:ascii="Century Gothic" w:hAnsi="Century Gothic"/>
                <w:sz w:val="20"/>
                <w:szCs w:val="20"/>
              </w:rPr>
              <w:t xml:space="preserve">The 10,000 ha maximum is provided because this approximates a 1 km stretch of water running along 10 km of shoreline. A one km </w:t>
            </w:r>
            <w:r w:rsidR="004B3B9A" w:rsidRPr="00B93986">
              <w:rPr>
                <w:rFonts w:ascii="Century Gothic" w:hAnsi="Century Gothic"/>
                <w:sz w:val="20"/>
                <w:szCs w:val="20"/>
              </w:rPr>
              <w:t xml:space="preserve">distance across water </w:t>
            </w:r>
            <w:r w:rsidR="00EF7A1E" w:rsidRPr="00B93986">
              <w:rPr>
                <w:rFonts w:ascii="Century Gothic" w:hAnsi="Century Gothic"/>
                <w:sz w:val="20"/>
                <w:szCs w:val="20"/>
              </w:rPr>
              <w:t>is biologically</w:t>
            </w:r>
            <w:r w:rsidRPr="00B93986">
              <w:rPr>
                <w:rFonts w:ascii="Century Gothic" w:hAnsi="Century Gothic"/>
                <w:sz w:val="20"/>
                <w:szCs w:val="20"/>
              </w:rPr>
              <w:t xml:space="preserve"> functional for larger terrestrial animals.  </w:t>
            </w:r>
          </w:p>
        </w:tc>
      </w:tr>
      <w:tr w:rsidR="006E661D" w:rsidRPr="00B93986" w:rsidTr="009758A3">
        <w:tc>
          <w:tcPr>
            <w:tcW w:w="1384" w:type="dxa"/>
          </w:tcPr>
          <w:p w:rsidR="006E661D" w:rsidRPr="00B93986" w:rsidRDefault="006E661D" w:rsidP="0025593D">
            <w:pPr>
              <w:pStyle w:val="NoSpacing"/>
              <w:rPr>
                <w:rFonts w:ascii="Century Gothic" w:hAnsi="Century Gothic"/>
                <w:sz w:val="20"/>
                <w:szCs w:val="20"/>
              </w:rPr>
            </w:pPr>
            <w:r w:rsidRPr="00B93986">
              <w:rPr>
                <w:rFonts w:ascii="Century Gothic" w:hAnsi="Century Gothic"/>
                <w:sz w:val="20"/>
                <w:szCs w:val="20"/>
              </w:rPr>
              <w:t>Non forest</w:t>
            </w:r>
            <w:r w:rsidR="0025593D" w:rsidRPr="00B93986">
              <w:rPr>
                <w:rFonts w:ascii="Century Gothic" w:hAnsi="Century Gothic"/>
                <w:sz w:val="20"/>
                <w:szCs w:val="20"/>
              </w:rPr>
              <w:t xml:space="preserve"> - Wetlands </w:t>
            </w:r>
          </w:p>
          <w:p w:rsidR="0025593D" w:rsidRPr="00B93986" w:rsidRDefault="0025593D" w:rsidP="0025593D">
            <w:pPr>
              <w:pStyle w:val="NoSpacing"/>
              <w:rPr>
                <w:rFonts w:ascii="Century Gothic" w:hAnsi="Century Gothic"/>
                <w:sz w:val="20"/>
                <w:szCs w:val="20"/>
              </w:rPr>
            </w:pPr>
            <w:r w:rsidRPr="00B93986">
              <w:rPr>
                <w:rFonts w:ascii="Century Gothic" w:hAnsi="Century Gothic"/>
                <w:sz w:val="20"/>
                <w:szCs w:val="20"/>
              </w:rPr>
              <w:t>Grasslands</w:t>
            </w:r>
          </w:p>
        </w:tc>
        <w:tc>
          <w:tcPr>
            <w:tcW w:w="3827" w:type="dxa"/>
          </w:tcPr>
          <w:p w:rsidR="006E661D" w:rsidRPr="00B93986" w:rsidRDefault="006E661D" w:rsidP="0025593D">
            <w:pPr>
              <w:pStyle w:val="NoSpacing"/>
              <w:rPr>
                <w:rFonts w:ascii="Century Gothic" w:hAnsi="Century Gothic"/>
                <w:sz w:val="20"/>
                <w:szCs w:val="20"/>
              </w:rPr>
            </w:pPr>
            <w:r w:rsidRPr="00B93986">
              <w:rPr>
                <w:rFonts w:ascii="Century Gothic" w:hAnsi="Century Gothic"/>
                <w:sz w:val="20"/>
                <w:szCs w:val="20"/>
              </w:rPr>
              <w:t xml:space="preserve">IFLs  may contain non-forest areas as part of </w:t>
            </w:r>
            <w:r w:rsidR="0025593D" w:rsidRPr="00B93986">
              <w:rPr>
                <w:rFonts w:ascii="Century Gothic" w:hAnsi="Century Gothic"/>
                <w:sz w:val="20"/>
                <w:szCs w:val="20"/>
              </w:rPr>
              <w:t>a</w:t>
            </w:r>
            <w:r w:rsidRPr="00B93986">
              <w:rPr>
                <w:rFonts w:ascii="Century Gothic" w:hAnsi="Century Gothic"/>
                <w:sz w:val="20"/>
                <w:szCs w:val="20"/>
              </w:rPr>
              <w:t xml:space="preserve"> broader ecosystem</w:t>
            </w:r>
            <w:r w:rsidR="0025593D" w:rsidRPr="00B93986">
              <w:rPr>
                <w:rFonts w:ascii="Century Gothic" w:hAnsi="Century Gothic"/>
                <w:sz w:val="20"/>
                <w:szCs w:val="20"/>
              </w:rPr>
              <w:t xml:space="preserve"> </w:t>
            </w:r>
            <w:r w:rsidRPr="00B93986">
              <w:rPr>
                <w:rFonts w:ascii="Century Gothic" w:hAnsi="Century Gothic"/>
                <w:sz w:val="20"/>
                <w:szCs w:val="20"/>
              </w:rPr>
              <w:t>includ</w:t>
            </w:r>
            <w:r w:rsidR="0025593D" w:rsidRPr="00B93986">
              <w:rPr>
                <w:rFonts w:ascii="Century Gothic" w:hAnsi="Century Gothic"/>
                <w:sz w:val="20"/>
                <w:szCs w:val="20"/>
              </w:rPr>
              <w:t>ing:</w:t>
            </w:r>
          </w:p>
          <w:p w:rsidR="006E661D" w:rsidRPr="00B93986" w:rsidRDefault="006E661D" w:rsidP="004B3B9A">
            <w:pPr>
              <w:pStyle w:val="NoSpacing"/>
              <w:numPr>
                <w:ilvl w:val="0"/>
                <w:numId w:val="12"/>
              </w:numPr>
              <w:rPr>
                <w:rFonts w:ascii="Century Gothic" w:hAnsi="Century Gothic"/>
                <w:sz w:val="20"/>
                <w:szCs w:val="20"/>
              </w:rPr>
            </w:pPr>
            <w:r w:rsidRPr="00B93986">
              <w:rPr>
                <w:rFonts w:ascii="Century Gothic" w:hAnsi="Century Gothic"/>
                <w:sz w:val="20"/>
                <w:szCs w:val="20"/>
              </w:rPr>
              <w:t xml:space="preserve">Wetland </w:t>
            </w:r>
            <w:r w:rsidR="0025593D" w:rsidRPr="00B93986">
              <w:rPr>
                <w:rFonts w:ascii="Century Gothic" w:hAnsi="Century Gothic"/>
                <w:sz w:val="20"/>
                <w:szCs w:val="20"/>
              </w:rPr>
              <w:t>-</w:t>
            </w:r>
            <w:r w:rsidRPr="00B93986">
              <w:rPr>
                <w:rFonts w:ascii="Century Gothic" w:hAnsi="Century Gothic"/>
                <w:sz w:val="20"/>
                <w:szCs w:val="20"/>
              </w:rPr>
              <w:t xml:space="preserve"> bogs, fens, marshes </w:t>
            </w:r>
          </w:p>
          <w:p w:rsidR="0025593D" w:rsidRPr="00B93986" w:rsidRDefault="006E661D" w:rsidP="004B3B9A">
            <w:pPr>
              <w:pStyle w:val="NoSpacing"/>
              <w:numPr>
                <w:ilvl w:val="0"/>
                <w:numId w:val="12"/>
              </w:numPr>
              <w:rPr>
                <w:rFonts w:ascii="Century Gothic" w:hAnsi="Century Gothic"/>
                <w:sz w:val="20"/>
                <w:szCs w:val="20"/>
              </w:rPr>
            </w:pPr>
            <w:r w:rsidRPr="00B93986">
              <w:rPr>
                <w:rFonts w:ascii="Century Gothic" w:hAnsi="Century Gothic"/>
                <w:sz w:val="20"/>
                <w:szCs w:val="20"/>
              </w:rPr>
              <w:t>Grasslands</w:t>
            </w:r>
          </w:p>
          <w:p w:rsidR="006E661D" w:rsidRPr="00B93986" w:rsidRDefault="0025593D" w:rsidP="004B3B9A">
            <w:pPr>
              <w:pStyle w:val="NoSpacing"/>
              <w:numPr>
                <w:ilvl w:val="0"/>
                <w:numId w:val="12"/>
              </w:numPr>
              <w:rPr>
                <w:rFonts w:ascii="Century Gothic" w:hAnsi="Century Gothic"/>
                <w:sz w:val="20"/>
                <w:szCs w:val="20"/>
              </w:rPr>
            </w:pPr>
            <w:r w:rsidRPr="00B93986">
              <w:rPr>
                <w:rFonts w:ascii="Century Gothic" w:hAnsi="Century Gothic"/>
                <w:sz w:val="20"/>
                <w:szCs w:val="20"/>
              </w:rPr>
              <w:t>Non production forest</w:t>
            </w:r>
            <w:r w:rsidR="006E661D" w:rsidRPr="00B93986">
              <w:rPr>
                <w:rFonts w:ascii="Century Gothic" w:hAnsi="Century Gothic"/>
                <w:sz w:val="20"/>
                <w:szCs w:val="20"/>
              </w:rPr>
              <w:t xml:space="preserve"> </w:t>
            </w:r>
            <w:r w:rsidR="00C94EB7" w:rsidRPr="00B93986">
              <w:rPr>
                <w:rFonts w:ascii="Century Gothic" w:hAnsi="Century Gothic"/>
                <w:sz w:val="20"/>
                <w:szCs w:val="20"/>
              </w:rPr>
              <w:t xml:space="preserve"> </w:t>
            </w:r>
          </w:p>
        </w:tc>
        <w:tc>
          <w:tcPr>
            <w:tcW w:w="4111" w:type="dxa"/>
          </w:tcPr>
          <w:p w:rsidR="0025593D" w:rsidRPr="00B93986" w:rsidRDefault="0025593D" w:rsidP="004B3B9A">
            <w:pPr>
              <w:pStyle w:val="NoSpacing"/>
              <w:ind w:firstLine="284"/>
              <w:rPr>
                <w:rFonts w:ascii="Century Gothic" w:hAnsi="Century Gothic"/>
                <w:sz w:val="20"/>
                <w:szCs w:val="20"/>
              </w:rPr>
            </w:pPr>
            <w:r w:rsidRPr="00B93986">
              <w:rPr>
                <w:rFonts w:ascii="Century Gothic" w:hAnsi="Century Gothic"/>
                <w:sz w:val="20"/>
                <w:szCs w:val="20"/>
              </w:rPr>
              <w:t xml:space="preserve">Non production forest is included, which could have a number of different labels: sensitive forest lands, hazard lands, inoperable, </w:t>
            </w:r>
            <w:proofErr w:type="spellStart"/>
            <w:r w:rsidRPr="00B93986">
              <w:rPr>
                <w:rFonts w:ascii="Century Gothic" w:hAnsi="Century Gothic"/>
                <w:sz w:val="20"/>
                <w:szCs w:val="20"/>
              </w:rPr>
              <w:t>etc</w:t>
            </w:r>
            <w:proofErr w:type="spellEnd"/>
            <w:r w:rsidRPr="00B93986">
              <w:rPr>
                <w:rFonts w:ascii="Century Gothic" w:hAnsi="Century Gothic"/>
                <w:sz w:val="20"/>
                <w:szCs w:val="20"/>
              </w:rPr>
              <w:t xml:space="preserve">, as long as it is undisturbed. </w:t>
            </w:r>
          </w:p>
          <w:p w:rsidR="006E661D" w:rsidRPr="00B93986" w:rsidRDefault="006E661D" w:rsidP="004B3B9A">
            <w:pPr>
              <w:pStyle w:val="NoSpacing"/>
              <w:ind w:firstLine="284"/>
              <w:rPr>
                <w:rFonts w:ascii="Century Gothic" w:hAnsi="Century Gothic"/>
                <w:sz w:val="20"/>
                <w:szCs w:val="20"/>
              </w:rPr>
            </w:pPr>
          </w:p>
        </w:tc>
      </w:tr>
      <w:tr w:rsidR="00910FB9" w:rsidRPr="00B93986" w:rsidTr="00571482">
        <w:tc>
          <w:tcPr>
            <w:tcW w:w="1384" w:type="dxa"/>
          </w:tcPr>
          <w:p w:rsidR="00910FB9" w:rsidRPr="00B93986" w:rsidRDefault="00910FB9" w:rsidP="0025593D">
            <w:pPr>
              <w:pStyle w:val="NoSpacing"/>
              <w:rPr>
                <w:rFonts w:ascii="Century Gothic" w:hAnsi="Century Gothic"/>
                <w:sz w:val="20"/>
                <w:szCs w:val="20"/>
              </w:rPr>
            </w:pPr>
            <w:r w:rsidRPr="00B93986">
              <w:rPr>
                <w:rFonts w:ascii="Century Gothic" w:hAnsi="Century Gothic"/>
                <w:sz w:val="20"/>
                <w:szCs w:val="20"/>
              </w:rPr>
              <w:t>Natural Disturbance</w:t>
            </w:r>
          </w:p>
        </w:tc>
        <w:tc>
          <w:tcPr>
            <w:tcW w:w="3827" w:type="dxa"/>
          </w:tcPr>
          <w:p w:rsidR="00910FB9" w:rsidRPr="00B93986" w:rsidRDefault="006E661D" w:rsidP="0025593D">
            <w:pPr>
              <w:pStyle w:val="NoSpacing"/>
              <w:rPr>
                <w:rFonts w:ascii="Century Gothic" w:hAnsi="Century Gothic"/>
                <w:sz w:val="20"/>
                <w:szCs w:val="20"/>
              </w:rPr>
            </w:pPr>
            <w:r w:rsidRPr="00B93986">
              <w:rPr>
                <w:rFonts w:ascii="Century Gothic" w:hAnsi="Century Gothic"/>
                <w:sz w:val="20"/>
                <w:szCs w:val="20"/>
              </w:rPr>
              <w:t>Natural disturbance (fire, blow down, insects) can be fully included a</w:t>
            </w:r>
            <w:r w:rsidR="000F3D68" w:rsidRPr="00B93986">
              <w:rPr>
                <w:rFonts w:ascii="Century Gothic" w:hAnsi="Century Gothic"/>
                <w:sz w:val="20"/>
                <w:szCs w:val="20"/>
              </w:rPr>
              <w:t xml:space="preserve">s long as the area remains </w:t>
            </w:r>
            <w:proofErr w:type="spellStart"/>
            <w:r w:rsidR="000F3D68" w:rsidRPr="00B93986">
              <w:rPr>
                <w:rFonts w:ascii="Century Gothic" w:hAnsi="Century Gothic"/>
                <w:sz w:val="20"/>
                <w:szCs w:val="20"/>
              </w:rPr>
              <w:t>unaccessed</w:t>
            </w:r>
            <w:proofErr w:type="spellEnd"/>
            <w:r w:rsidR="000F3D68" w:rsidRPr="00B93986">
              <w:rPr>
                <w:rFonts w:ascii="Century Gothic" w:hAnsi="Century Gothic"/>
                <w:sz w:val="20"/>
                <w:szCs w:val="20"/>
              </w:rPr>
              <w:t>, and salvage is not occurring</w:t>
            </w:r>
            <w:r w:rsidRPr="00B93986">
              <w:rPr>
                <w:rFonts w:ascii="Century Gothic" w:hAnsi="Century Gothic"/>
                <w:sz w:val="20"/>
                <w:szCs w:val="20"/>
              </w:rPr>
              <w:t>.</w:t>
            </w:r>
          </w:p>
        </w:tc>
        <w:tc>
          <w:tcPr>
            <w:tcW w:w="4111" w:type="dxa"/>
          </w:tcPr>
          <w:p w:rsidR="00910FB9" w:rsidRPr="00B93986" w:rsidRDefault="006E661D" w:rsidP="004B3B9A">
            <w:pPr>
              <w:pStyle w:val="NoSpacing"/>
              <w:ind w:firstLine="284"/>
              <w:rPr>
                <w:rFonts w:ascii="Century Gothic" w:hAnsi="Century Gothic"/>
                <w:sz w:val="20"/>
                <w:szCs w:val="20"/>
              </w:rPr>
            </w:pPr>
            <w:r w:rsidRPr="00B93986">
              <w:rPr>
                <w:rFonts w:ascii="Century Gothic" w:hAnsi="Century Gothic"/>
                <w:sz w:val="20"/>
                <w:szCs w:val="20"/>
              </w:rPr>
              <w:t xml:space="preserve">Note that salvage areas are not allowed because roads are required.  As this guidance was prepared, there were no exceptions, such as salvage in winter.  </w:t>
            </w:r>
          </w:p>
        </w:tc>
      </w:tr>
      <w:tr w:rsidR="00910FB9" w:rsidRPr="00B93986" w:rsidTr="00571482">
        <w:tc>
          <w:tcPr>
            <w:tcW w:w="1384" w:type="dxa"/>
          </w:tcPr>
          <w:p w:rsidR="00910FB9" w:rsidRPr="00B93986" w:rsidRDefault="00910FB9" w:rsidP="0025593D">
            <w:pPr>
              <w:pStyle w:val="NoSpacing"/>
              <w:rPr>
                <w:rFonts w:ascii="Century Gothic" w:hAnsi="Century Gothic"/>
                <w:sz w:val="20"/>
                <w:szCs w:val="20"/>
              </w:rPr>
            </w:pPr>
            <w:r w:rsidRPr="00B93986">
              <w:rPr>
                <w:rFonts w:ascii="Century Gothic" w:hAnsi="Century Gothic"/>
                <w:sz w:val="20"/>
                <w:szCs w:val="20"/>
              </w:rPr>
              <w:t>Non Forestry</w:t>
            </w:r>
            <w:r w:rsidR="006E661D" w:rsidRPr="00B93986">
              <w:rPr>
                <w:rFonts w:ascii="Century Gothic" w:hAnsi="Century Gothic"/>
                <w:sz w:val="20"/>
                <w:szCs w:val="20"/>
              </w:rPr>
              <w:t xml:space="preserve"> </w:t>
            </w:r>
            <w:r w:rsidR="006E661D" w:rsidRPr="00B93986">
              <w:rPr>
                <w:rFonts w:ascii="Century Gothic" w:hAnsi="Century Gothic"/>
                <w:sz w:val="20"/>
                <w:szCs w:val="20"/>
              </w:rPr>
              <w:lastRenderedPageBreak/>
              <w:t>land uses</w:t>
            </w:r>
          </w:p>
        </w:tc>
        <w:tc>
          <w:tcPr>
            <w:tcW w:w="3827" w:type="dxa"/>
          </w:tcPr>
          <w:p w:rsidR="00910FB9" w:rsidRPr="00B93986" w:rsidRDefault="00910FB9" w:rsidP="0025593D">
            <w:pPr>
              <w:pStyle w:val="NoSpacing"/>
              <w:rPr>
                <w:rFonts w:ascii="Century Gothic" w:hAnsi="Century Gothic"/>
                <w:sz w:val="20"/>
                <w:szCs w:val="20"/>
              </w:rPr>
            </w:pPr>
            <w:r w:rsidRPr="00B93986">
              <w:rPr>
                <w:rFonts w:ascii="Century Gothic" w:hAnsi="Century Gothic"/>
                <w:sz w:val="20"/>
                <w:szCs w:val="20"/>
              </w:rPr>
              <w:lastRenderedPageBreak/>
              <w:t>Protected areas</w:t>
            </w:r>
            <w:r w:rsidR="006E661D" w:rsidRPr="00B93986">
              <w:rPr>
                <w:rFonts w:ascii="Century Gothic" w:hAnsi="Century Gothic"/>
                <w:sz w:val="20"/>
                <w:szCs w:val="20"/>
              </w:rPr>
              <w:t xml:space="preserve"> and FSC </w:t>
            </w:r>
            <w:r w:rsidRPr="00B93986">
              <w:rPr>
                <w:rFonts w:ascii="Century Gothic" w:hAnsi="Century Gothic"/>
                <w:sz w:val="20"/>
                <w:szCs w:val="20"/>
              </w:rPr>
              <w:t xml:space="preserve">Candidate Protected areas </w:t>
            </w:r>
            <w:r w:rsidR="006E661D" w:rsidRPr="00B93986">
              <w:rPr>
                <w:rFonts w:ascii="Century Gothic" w:hAnsi="Century Gothic"/>
                <w:sz w:val="20"/>
                <w:szCs w:val="20"/>
              </w:rPr>
              <w:t xml:space="preserve">can be </w:t>
            </w:r>
            <w:r w:rsidRPr="00B93986">
              <w:rPr>
                <w:rFonts w:ascii="Century Gothic" w:hAnsi="Century Gothic"/>
                <w:sz w:val="20"/>
                <w:szCs w:val="20"/>
              </w:rPr>
              <w:t>included</w:t>
            </w:r>
            <w:r w:rsidR="006E661D" w:rsidRPr="00B93986">
              <w:rPr>
                <w:rFonts w:ascii="Century Gothic" w:hAnsi="Century Gothic"/>
                <w:sz w:val="20"/>
                <w:szCs w:val="20"/>
              </w:rPr>
              <w:t xml:space="preserve"> in </w:t>
            </w:r>
            <w:r w:rsidR="00C94EB7" w:rsidRPr="00B93986">
              <w:rPr>
                <w:rFonts w:ascii="Century Gothic" w:hAnsi="Century Gothic"/>
                <w:sz w:val="20"/>
                <w:szCs w:val="20"/>
              </w:rPr>
              <w:lastRenderedPageBreak/>
              <w:t>I</w:t>
            </w:r>
            <w:r w:rsidR="006E661D" w:rsidRPr="00B93986">
              <w:rPr>
                <w:rFonts w:ascii="Century Gothic" w:hAnsi="Century Gothic"/>
                <w:sz w:val="20"/>
                <w:szCs w:val="20"/>
              </w:rPr>
              <w:t xml:space="preserve">FL. </w:t>
            </w:r>
          </w:p>
        </w:tc>
        <w:tc>
          <w:tcPr>
            <w:tcW w:w="4111" w:type="dxa"/>
          </w:tcPr>
          <w:p w:rsidR="00910FB9" w:rsidRPr="00B93986" w:rsidRDefault="006E661D" w:rsidP="004B3B9A">
            <w:pPr>
              <w:pStyle w:val="NoSpacing"/>
              <w:ind w:firstLine="284"/>
              <w:rPr>
                <w:rFonts w:ascii="Century Gothic" w:hAnsi="Century Gothic"/>
                <w:sz w:val="20"/>
                <w:szCs w:val="20"/>
              </w:rPr>
            </w:pPr>
            <w:r w:rsidRPr="00B93986">
              <w:rPr>
                <w:rFonts w:ascii="Century Gothic" w:hAnsi="Century Gothic"/>
                <w:sz w:val="20"/>
                <w:szCs w:val="20"/>
              </w:rPr>
              <w:lastRenderedPageBreak/>
              <w:t xml:space="preserve">Obviously, </w:t>
            </w:r>
            <w:proofErr w:type="spellStart"/>
            <w:r w:rsidRPr="00B93986">
              <w:rPr>
                <w:rFonts w:ascii="Century Gothic" w:hAnsi="Century Gothic"/>
                <w:sz w:val="20"/>
                <w:szCs w:val="20"/>
              </w:rPr>
              <w:t>non forestry</w:t>
            </w:r>
            <w:proofErr w:type="spellEnd"/>
            <w:r w:rsidRPr="00B93986">
              <w:rPr>
                <w:rFonts w:ascii="Century Gothic" w:hAnsi="Century Gothic"/>
                <w:sz w:val="20"/>
                <w:szCs w:val="20"/>
              </w:rPr>
              <w:t xml:space="preserve"> resource extraction is not included.  </w:t>
            </w:r>
          </w:p>
        </w:tc>
      </w:tr>
      <w:tr w:rsidR="00910FB9" w:rsidRPr="00B93986" w:rsidTr="00571482">
        <w:tc>
          <w:tcPr>
            <w:tcW w:w="1384" w:type="dxa"/>
          </w:tcPr>
          <w:p w:rsidR="00910FB9" w:rsidRPr="00B93986" w:rsidRDefault="00910FB9" w:rsidP="0025593D">
            <w:pPr>
              <w:pStyle w:val="NoSpacing"/>
              <w:rPr>
                <w:rFonts w:ascii="Century Gothic" w:hAnsi="Century Gothic"/>
                <w:sz w:val="20"/>
                <w:szCs w:val="20"/>
              </w:rPr>
            </w:pPr>
            <w:r w:rsidRPr="00B93986">
              <w:rPr>
                <w:rFonts w:ascii="Century Gothic" w:hAnsi="Century Gothic"/>
                <w:sz w:val="20"/>
                <w:szCs w:val="20"/>
              </w:rPr>
              <w:t>Contiguous Patches</w:t>
            </w:r>
          </w:p>
        </w:tc>
        <w:tc>
          <w:tcPr>
            <w:tcW w:w="3827" w:type="dxa"/>
          </w:tcPr>
          <w:p w:rsidR="000F3D68" w:rsidRPr="00B93986" w:rsidRDefault="00910FB9" w:rsidP="004B3B9A">
            <w:pPr>
              <w:pStyle w:val="NoSpacing"/>
              <w:rPr>
                <w:rFonts w:ascii="Century Gothic" w:hAnsi="Century Gothic"/>
                <w:sz w:val="20"/>
                <w:szCs w:val="20"/>
              </w:rPr>
            </w:pPr>
            <w:r w:rsidRPr="00B93986">
              <w:rPr>
                <w:rFonts w:ascii="Century Gothic" w:hAnsi="Century Gothic"/>
                <w:sz w:val="20"/>
                <w:szCs w:val="20"/>
              </w:rPr>
              <w:t xml:space="preserve">Small patches contiguous to IFLs </w:t>
            </w:r>
            <w:r w:rsidR="004B3B9A" w:rsidRPr="00B93986">
              <w:rPr>
                <w:rFonts w:ascii="Century Gothic" w:hAnsi="Century Gothic"/>
                <w:sz w:val="20"/>
                <w:szCs w:val="20"/>
              </w:rPr>
              <w:t xml:space="preserve">external FMA/SFL/defined forest area </w:t>
            </w:r>
            <w:r w:rsidRPr="00B93986">
              <w:rPr>
                <w:rFonts w:ascii="Century Gothic" w:hAnsi="Century Gothic"/>
                <w:sz w:val="20"/>
                <w:szCs w:val="20"/>
              </w:rPr>
              <w:t>(</w:t>
            </w:r>
            <w:r w:rsidR="004B3B9A" w:rsidRPr="00B93986">
              <w:rPr>
                <w:rFonts w:ascii="Century Gothic" w:hAnsi="Century Gothic"/>
                <w:sz w:val="20"/>
                <w:szCs w:val="20"/>
              </w:rPr>
              <w:t xml:space="preserve">For area calculation, the </w:t>
            </w:r>
            <w:r w:rsidRPr="00B93986">
              <w:rPr>
                <w:rFonts w:ascii="Century Gothic" w:hAnsi="Century Gothic"/>
                <w:sz w:val="20"/>
                <w:szCs w:val="20"/>
              </w:rPr>
              <w:t>measure area inside of the</w:t>
            </w:r>
            <w:r w:rsidR="004B3B9A" w:rsidRPr="00B93986">
              <w:rPr>
                <w:rFonts w:ascii="Century Gothic" w:hAnsi="Century Gothic"/>
                <w:sz w:val="20"/>
                <w:szCs w:val="20"/>
              </w:rPr>
              <w:t xml:space="preserve"> license area</w:t>
            </w:r>
            <w:r w:rsidRPr="00B93986">
              <w:rPr>
                <w:rFonts w:ascii="Century Gothic" w:hAnsi="Century Gothic"/>
                <w:sz w:val="20"/>
                <w:szCs w:val="20"/>
              </w:rPr>
              <w:t>)</w:t>
            </w:r>
            <w:r w:rsidR="000F3D68" w:rsidRPr="00B93986">
              <w:rPr>
                <w:rFonts w:ascii="Century Gothic" w:hAnsi="Century Gothic"/>
                <w:sz w:val="20"/>
                <w:szCs w:val="20"/>
              </w:rPr>
              <w:t>.</w:t>
            </w:r>
          </w:p>
        </w:tc>
        <w:tc>
          <w:tcPr>
            <w:tcW w:w="4111" w:type="dxa"/>
          </w:tcPr>
          <w:p w:rsidR="00910FB9" w:rsidRPr="00B93986" w:rsidRDefault="006E661D" w:rsidP="004B3B9A">
            <w:pPr>
              <w:pStyle w:val="NoSpacing"/>
              <w:ind w:firstLine="284"/>
              <w:rPr>
                <w:rFonts w:ascii="Century Gothic" w:hAnsi="Century Gothic"/>
                <w:sz w:val="20"/>
                <w:szCs w:val="20"/>
              </w:rPr>
            </w:pPr>
            <w:r w:rsidRPr="00B93986">
              <w:rPr>
                <w:rFonts w:ascii="Century Gothic" w:hAnsi="Century Gothic"/>
                <w:sz w:val="20"/>
                <w:szCs w:val="20"/>
              </w:rPr>
              <w:t xml:space="preserve">Intact patches smaller than 500 km </w:t>
            </w:r>
            <w:proofErr w:type="spellStart"/>
            <w:r w:rsidRPr="00B93986">
              <w:rPr>
                <w:rFonts w:ascii="Century Gothic" w:hAnsi="Century Gothic"/>
                <w:sz w:val="20"/>
                <w:szCs w:val="20"/>
              </w:rPr>
              <w:t>sq</w:t>
            </w:r>
            <w:proofErr w:type="spellEnd"/>
            <w:r w:rsidRPr="00B93986">
              <w:rPr>
                <w:rFonts w:ascii="Century Gothic" w:hAnsi="Century Gothic"/>
                <w:sz w:val="20"/>
                <w:szCs w:val="20"/>
              </w:rPr>
              <w:t xml:space="preserve"> that are contiguous with other intact areas outside of the management zone should be included as IFLs. </w:t>
            </w:r>
            <w:r w:rsidR="004B3B9A" w:rsidRPr="00B93986">
              <w:rPr>
                <w:rFonts w:ascii="Century Gothic" w:hAnsi="Century Gothic"/>
                <w:sz w:val="20"/>
                <w:szCs w:val="20"/>
              </w:rPr>
              <w:t xml:space="preserve"> </w:t>
            </w:r>
          </w:p>
        </w:tc>
      </w:tr>
      <w:tr w:rsidR="00910FB9" w:rsidRPr="00B93986" w:rsidTr="00571482">
        <w:tc>
          <w:tcPr>
            <w:tcW w:w="1384" w:type="dxa"/>
          </w:tcPr>
          <w:p w:rsidR="00910FB9" w:rsidRPr="00B93986" w:rsidRDefault="00910FB9" w:rsidP="0025593D">
            <w:pPr>
              <w:pStyle w:val="NoSpacing"/>
              <w:rPr>
                <w:rFonts w:ascii="Century Gothic" w:hAnsi="Century Gothic"/>
                <w:sz w:val="20"/>
                <w:szCs w:val="20"/>
              </w:rPr>
            </w:pPr>
            <w:r w:rsidRPr="00B93986">
              <w:rPr>
                <w:rFonts w:ascii="Century Gothic" w:hAnsi="Century Gothic"/>
                <w:sz w:val="20"/>
                <w:szCs w:val="20"/>
              </w:rPr>
              <w:t>Time since disturbance</w:t>
            </w:r>
          </w:p>
        </w:tc>
        <w:tc>
          <w:tcPr>
            <w:tcW w:w="3827" w:type="dxa"/>
          </w:tcPr>
          <w:p w:rsidR="00910FB9" w:rsidRPr="00B93986" w:rsidRDefault="0025593D" w:rsidP="0025593D">
            <w:pPr>
              <w:pStyle w:val="NoSpacing"/>
              <w:rPr>
                <w:rFonts w:ascii="Century Gothic" w:hAnsi="Century Gothic"/>
                <w:sz w:val="20"/>
                <w:szCs w:val="20"/>
              </w:rPr>
            </w:pPr>
            <w:r w:rsidRPr="00B93986">
              <w:rPr>
                <w:rFonts w:ascii="Century Gothic" w:hAnsi="Century Gothic"/>
                <w:sz w:val="20"/>
                <w:szCs w:val="20"/>
              </w:rPr>
              <w:t xml:space="preserve">No disturbance is currently allowed at any previous time. </w:t>
            </w:r>
          </w:p>
        </w:tc>
        <w:tc>
          <w:tcPr>
            <w:tcW w:w="4111" w:type="dxa"/>
          </w:tcPr>
          <w:p w:rsidR="00910FB9" w:rsidRPr="00B93986" w:rsidRDefault="006E661D" w:rsidP="004B3B9A">
            <w:pPr>
              <w:pStyle w:val="NoSpacing"/>
              <w:ind w:firstLine="284"/>
              <w:rPr>
                <w:rFonts w:ascii="Century Gothic" w:hAnsi="Century Gothic"/>
                <w:sz w:val="20"/>
                <w:szCs w:val="20"/>
              </w:rPr>
            </w:pPr>
            <w:r w:rsidRPr="00B93986">
              <w:rPr>
                <w:rFonts w:ascii="Century Gothic" w:hAnsi="Century Gothic"/>
                <w:sz w:val="20"/>
                <w:szCs w:val="20"/>
              </w:rPr>
              <w:t xml:space="preserve">There is currently no allowance for a time since disturbance, regardless of how natural an area </w:t>
            </w:r>
            <w:r w:rsidR="0025593D" w:rsidRPr="00B93986">
              <w:rPr>
                <w:rFonts w:ascii="Century Gothic" w:hAnsi="Century Gothic"/>
                <w:sz w:val="20"/>
                <w:szCs w:val="20"/>
              </w:rPr>
              <w:t xml:space="preserve">may now </w:t>
            </w:r>
            <w:r w:rsidRPr="00B93986">
              <w:rPr>
                <w:rFonts w:ascii="Century Gothic" w:hAnsi="Century Gothic"/>
                <w:sz w:val="20"/>
                <w:szCs w:val="20"/>
              </w:rPr>
              <w:t xml:space="preserve">appear.    </w:t>
            </w:r>
          </w:p>
        </w:tc>
      </w:tr>
      <w:tr w:rsidR="00EF5EE5" w:rsidRPr="00B93986" w:rsidTr="00571482">
        <w:tc>
          <w:tcPr>
            <w:tcW w:w="1384" w:type="dxa"/>
          </w:tcPr>
          <w:p w:rsidR="00EF5EE5" w:rsidRPr="00B93986" w:rsidRDefault="006E661D" w:rsidP="0025593D">
            <w:pPr>
              <w:pStyle w:val="NoSpacing"/>
              <w:rPr>
                <w:rFonts w:ascii="Century Gothic" w:hAnsi="Century Gothic"/>
                <w:sz w:val="20"/>
                <w:szCs w:val="20"/>
              </w:rPr>
            </w:pPr>
            <w:r w:rsidRPr="00B93986">
              <w:rPr>
                <w:rFonts w:ascii="Century Gothic" w:hAnsi="Century Gothic"/>
                <w:sz w:val="20"/>
                <w:szCs w:val="20"/>
              </w:rPr>
              <w:t>Bottlenecks</w:t>
            </w:r>
          </w:p>
        </w:tc>
        <w:tc>
          <w:tcPr>
            <w:tcW w:w="3827" w:type="dxa"/>
          </w:tcPr>
          <w:p w:rsidR="005E18D8" w:rsidRPr="00B93986" w:rsidRDefault="006E661D" w:rsidP="0025593D">
            <w:pPr>
              <w:pStyle w:val="NoSpacing"/>
              <w:rPr>
                <w:rFonts w:ascii="Century Gothic" w:hAnsi="Century Gothic"/>
                <w:sz w:val="20"/>
                <w:szCs w:val="20"/>
              </w:rPr>
            </w:pPr>
            <w:r w:rsidRPr="00B93986">
              <w:rPr>
                <w:rFonts w:ascii="Century Gothic" w:hAnsi="Century Gothic"/>
                <w:sz w:val="20"/>
                <w:szCs w:val="20"/>
              </w:rPr>
              <w:t xml:space="preserve">Bottlenecks are constrictions of the IFL to a distance of less than 2 km measured across the narrowest portion of the neck.   </w:t>
            </w:r>
            <w:r w:rsidR="00EF5EE5" w:rsidRPr="00B93986">
              <w:rPr>
                <w:rFonts w:ascii="Century Gothic" w:hAnsi="Century Gothic"/>
                <w:sz w:val="20"/>
                <w:szCs w:val="20"/>
              </w:rPr>
              <w:t xml:space="preserve"> </w:t>
            </w:r>
          </w:p>
        </w:tc>
        <w:tc>
          <w:tcPr>
            <w:tcW w:w="4111" w:type="dxa"/>
          </w:tcPr>
          <w:p w:rsidR="00EF5EE5" w:rsidRPr="00B93986" w:rsidRDefault="006E661D" w:rsidP="004B3B9A">
            <w:pPr>
              <w:pStyle w:val="NoSpacing"/>
              <w:ind w:firstLine="284"/>
              <w:rPr>
                <w:rFonts w:ascii="Century Gothic" w:hAnsi="Century Gothic"/>
                <w:sz w:val="20"/>
                <w:szCs w:val="20"/>
              </w:rPr>
            </w:pPr>
            <w:r w:rsidRPr="00B93986">
              <w:rPr>
                <w:rFonts w:ascii="Century Gothic" w:hAnsi="Century Gothic"/>
                <w:sz w:val="20"/>
                <w:szCs w:val="20"/>
              </w:rPr>
              <w:t>A 2 km bottleneck would divide the IFL into two portions.  If either side or both sides of the constriction is greater than 50,000 ha, then one or both would be considered IFL.</w:t>
            </w:r>
          </w:p>
        </w:tc>
      </w:tr>
    </w:tbl>
    <w:p w:rsidR="00337814" w:rsidRPr="00B93986" w:rsidRDefault="00337814" w:rsidP="00C94EB7">
      <w:pPr>
        <w:rPr>
          <w:rFonts w:ascii="Century Gothic" w:hAnsi="Century Gothic"/>
          <w:sz w:val="20"/>
          <w:szCs w:val="20"/>
        </w:rPr>
      </w:pPr>
    </w:p>
    <w:p w:rsidR="00B93986" w:rsidRPr="00B93986" w:rsidRDefault="00B93986">
      <w:pPr>
        <w:rPr>
          <w:rFonts w:ascii="Century Gothic" w:hAnsi="Century Gothic"/>
          <w:sz w:val="20"/>
          <w:szCs w:val="20"/>
        </w:rPr>
      </w:pPr>
    </w:p>
    <w:sectPr w:rsidR="00B93986" w:rsidRPr="00B93986" w:rsidSect="00EF7A1E">
      <w:headerReference w:type="default" r:id="rId10"/>
      <w:footerReference w:type="default" r:id="rId11"/>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AAF" w:rsidRDefault="008E1AAF" w:rsidP="001B7085">
      <w:pPr>
        <w:spacing w:after="0" w:line="240" w:lineRule="auto"/>
      </w:pPr>
      <w:r>
        <w:separator/>
      </w:r>
    </w:p>
  </w:endnote>
  <w:endnote w:type="continuationSeparator" w:id="0">
    <w:p w:rsidR="008E1AAF" w:rsidRDefault="008E1AAF" w:rsidP="001B7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986" w:rsidRPr="002907B1" w:rsidRDefault="00B93986" w:rsidP="00B93986">
    <w:pPr>
      <w:tabs>
        <w:tab w:val="left" w:pos="6948"/>
        <w:tab w:val="right" w:pos="9184"/>
      </w:tabs>
      <w:spacing w:before="120" w:after="120"/>
      <w:rPr>
        <w:sz w:val="18"/>
        <w:szCs w:val="18"/>
      </w:rPr>
    </w:pPr>
    <w:r>
      <w:rPr>
        <w:sz w:val="18"/>
        <w:szCs w:val="18"/>
      </w:rPr>
      <w:tab/>
    </w:r>
    <w:r>
      <w:rPr>
        <w:rFonts w:ascii="Helvetica" w:hAnsi="Helvetica"/>
        <w:noProof/>
        <w:sz w:val="14"/>
        <w:szCs w:val="14"/>
        <w:lang w:eastAsia="en-CA"/>
      </w:rPr>
      <w:drawing>
        <wp:anchor distT="0" distB="0" distL="114300" distR="114300" simplePos="0" relativeHeight="251661824" behindDoc="1" locked="0" layoutInCell="1" allowOverlap="1" wp14:anchorId="609EF3A1" wp14:editId="4CF540A7">
          <wp:simplePos x="0" y="0"/>
          <wp:positionH relativeFrom="column">
            <wp:posOffset>4749800</wp:posOffset>
          </wp:positionH>
          <wp:positionV relativeFrom="paragraph">
            <wp:posOffset>326390</wp:posOffset>
          </wp:positionV>
          <wp:extent cx="1078865" cy="5391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1">
                    <a:extLst>
                      <a:ext uri="{28A0092B-C50C-407E-A947-70E740481C1C}">
                        <a14:useLocalDpi xmlns:a14="http://schemas.microsoft.com/office/drawing/2010/main" val="0"/>
                      </a:ext>
                    </a:extLst>
                  </a:blip>
                  <a:stretch>
                    <a:fillRect/>
                  </a:stretch>
                </pic:blipFill>
                <pic:spPr>
                  <a:xfrm>
                    <a:off x="0" y="0"/>
                    <a:ext cx="1078865" cy="5391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7728" behindDoc="1" locked="0" layoutInCell="1" allowOverlap="1" wp14:anchorId="77BE2659" wp14:editId="54D222CF">
          <wp:simplePos x="0" y="0"/>
          <wp:positionH relativeFrom="column">
            <wp:posOffset>0</wp:posOffset>
          </wp:positionH>
          <wp:positionV relativeFrom="paragraph">
            <wp:posOffset>250190</wp:posOffset>
          </wp:positionV>
          <wp:extent cx="5833745" cy="33655"/>
          <wp:effectExtent l="0" t="0" r="8255" b="0"/>
          <wp:wrapNone/>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ab/>
    </w:r>
    <w:r w:rsidRPr="002907B1">
      <w:rPr>
        <w:sz w:val="18"/>
        <w:szCs w:val="18"/>
      </w:rPr>
      <w:fldChar w:fldCharType="begin"/>
    </w:r>
    <w:r w:rsidRPr="002907B1">
      <w:rPr>
        <w:sz w:val="18"/>
        <w:szCs w:val="18"/>
      </w:rPr>
      <w:instrText xml:space="preserve"> PAGE </w:instrText>
    </w:r>
    <w:r w:rsidRPr="002907B1">
      <w:rPr>
        <w:sz w:val="18"/>
        <w:szCs w:val="18"/>
      </w:rPr>
      <w:fldChar w:fldCharType="separate"/>
    </w:r>
    <w:r>
      <w:rPr>
        <w:noProof/>
        <w:sz w:val="18"/>
        <w:szCs w:val="18"/>
      </w:rPr>
      <w:t>3</w:t>
    </w:r>
    <w:r w:rsidRPr="002907B1">
      <w:rPr>
        <w:sz w:val="18"/>
        <w:szCs w:val="18"/>
      </w:rPr>
      <w:fldChar w:fldCharType="end"/>
    </w:r>
    <w:r w:rsidRPr="002907B1">
      <w:rPr>
        <w:sz w:val="18"/>
        <w:szCs w:val="18"/>
      </w:rPr>
      <w:t xml:space="preserve"> of </w:t>
    </w:r>
    <w:r w:rsidRPr="002907B1">
      <w:rPr>
        <w:sz w:val="18"/>
        <w:szCs w:val="18"/>
      </w:rPr>
      <w:fldChar w:fldCharType="begin"/>
    </w:r>
    <w:r w:rsidRPr="002907B1">
      <w:rPr>
        <w:sz w:val="18"/>
        <w:szCs w:val="18"/>
      </w:rPr>
      <w:instrText xml:space="preserve"> NUMPAGES  </w:instrText>
    </w:r>
    <w:r w:rsidRPr="002907B1">
      <w:rPr>
        <w:sz w:val="18"/>
        <w:szCs w:val="18"/>
      </w:rPr>
      <w:fldChar w:fldCharType="separate"/>
    </w:r>
    <w:r>
      <w:rPr>
        <w:noProof/>
        <w:sz w:val="18"/>
        <w:szCs w:val="18"/>
      </w:rPr>
      <w:t>3</w:t>
    </w:r>
    <w:r w:rsidRPr="002907B1">
      <w:rPr>
        <w:sz w:val="18"/>
        <w:szCs w:val="18"/>
      </w:rPr>
      <w:fldChar w:fldCharType="end"/>
    </w:r>
  </w:p>
  <w:p w:rsidR="00B93986" w:rsidRPr="00C16B87" w:rsidRDefault="00B93986" w:rsidP="00B93986">
    <w:pPr>
      <w:pStyle w:val="Footer"/>
      <w:rPr>
        <w:rFonts w:ascii="Helvetica" w:hAnsi="Helvetica"/>
        <w:color w:val="262626" w:themeColor="text1" w:themeTint="D9"/>
        <w:sz w:val="14"/>
        <w:szCs w:val="14"/>
      </w:rPr>
    </w:pPr>
    <w:r w:rsidRPr="00C16B87">
      <w:rPr>
        <w:rStyle w:val="FSCAddressDetailsGreen"/>
        <w:rFonts w:ascii="Helvetica" w:hAnsi="Helvetica"/>
        <w:color w:val="262626" w:themeColor="text1" w:themeTint="D9"/>
        <w:sz w:val="14"/>
        <w:szCs w:val="14"/>
      </w:rPr>
      <w:t xml:space="preserve">FSC </w:t>
    </w:r>
    <w:r>
      <w:rPr>
        <w:rStyle w:val="FSCAddressDetailsGreen"/>
        <w:rFonts w:ascii="Helvetica" w:hAnsi="Helvetica"/>
        <w:color w:val="262626" w:themeColor="text1" w:themeTint="D9"/>
        <w:sz w:val="14"/>
        <w:szCs w:val="14"/>
      </w:rPr>
      <w:t>Canada</w:t>
    </w:r>
    <w:r>
      <w:rPr>
        <w:rFonts w:ascii="Helvetica" w:hAnsi="Helvetica"/>
        <w:color w:val="262626" w:themeColor="text1" w:themeTint="D9"/>
        <w:sz w:val="14"/>
        <w:szCs w:val="14"/>
      </w:rPr>
      <w:t xml:space="preserve"> · ca</w:t>
    </w:r>
    <w:r w:rsidRPr="00C16B87">
      <w:rPr>
        <w:rFonts w:ascii="Helvetica" w:hAnsi="Helvetica"/>
        <w:color w:val="262626" w:themeColor="text1" w:themeTint="D9"/>
        <w:sz w:val="14"/>
        <w:szCs w:val="14"/>
      </w:rPr>
      <w:t>.fsc.org · FSC</w:t>
    </w:r>
    <w:r w:rsidRPr="00C16B87">
      <w:rPr>
        <w:rFonts w:ascii="Helvetica" w:hAnsi="Helvetica"/>
        <w:color w:val="262626" w:themeColor="text1" w:themeTint="D9"/>
        <w:sz w:val="14"/>
        <w:szCs w:val="14"/>
        <w:vertAlign w:val="superscript"/>
      </w:rPr>
      <w:t>®</w:t>
    </w:r>
    <w:r>
      <w:rPr>
        <w:rFonts w:ascii="Helvetica" w:hAnsi="Helvetica"/>
        <w:color w:val="262626" w:themeColor="text1" w:themeTint="D9"/>
        <w:sz w:val="14"/>
        <w:szCs w:val="14"/>
      </w:rPr>
      <w:t xml:space="preserve"> F000205</w:t>
    </w:r>
  </w:p>
  <w:p w:rsidR="00B93986" w:rsidRPr="00BD461E" w:rsidRDefault="00B93986" w:rsidP="00B93986">
    <w:pPr>
      <w:pStyle w:val="FSCAddressDetailsBlack"/>
      <w:rPr>
        <w:rFonts w:ascii="Helvetica" w:hAnsi="Helvetica"/>
        <w:color w:val="262626" w:themeColor="text1" w:themeTint="D9"/>
        <w:sz w:val="14"/>
        <w:szCs w:val="14"/>
      </w:rPr>
    </w:pPr>
    <w:hyperlink r:id="rId3" w:history="1">
      <w:r w:rsidRPr="0011742B">
        <w:rPr>
          <w:rStyle w:val="Hyperlink"/>
          <w:rFonts w:ascii="Helvetica" w:hAnsi="Helvetica"/>
          <w:sz w:val="14"/>
          <w:szCs w:val="14"/>
        </w:rPr>
        <w:t>info@ca.fsc.org</w:t>
      </w:r>
    </w:hyperlink>
    <w:r>
      <w:rPr>
        <w:rFonts w:ascii="Helvetica" w:hAnsi="Helvetica"/>
        <w:color w:val="262626" w:themeColor="text1" w:themeTint="D9"/>
        <w:sz w:val="14"/>
        <w:szCs w:val="14"/>
      </w:rPr>
      <w:t xml:space="preserve"> </w:t>
    </w:r>
    <w:r w:rsidRPr="00C16B87">
      <w:rPr>
        <w:rFonts w:ascii="Helvetica" w:hAnsi="Helvetica"/>
        <w:color w:val="262626" w:themeColor="text1" w:themeTint="D9"/>
        <w:sz w:val="14"/>
        <w:szCs w:val="14"/>
      </w:rPr>
      <w:t xml:space="preserve"> ·</w:t>
    </w:r>
    <w:r>
      <w:rPr>
        <w:rFonts w:ascii="Helvetica" w:hAnsi="Helvetica"/>
        <w:color w:val="262626" w:themeColor="text1" w:themeTint="D9"/>
        <w:sz w:val="14"/>
        <w:szCs w:val="14"/>
      </w:rPr>
      <w:t xml:space="preserve"> </w:t>
    </w:r>
    <w:hyperlink r:id="rId4" w:history="1">
      <w:r w:rsidRPr="0011742B">
        <w:rPr>
          <w:rStyle w:val="Hyperlink"/>
          <w:rFonts w:ascii="Helvetica" w:hAnsi="Helvetica"/>
          <w:sz w:val="14"/>
          <w:szCs w:val="14"/>
        </w:rPr>
        <w:t>www.ca.fsc.org</w:t>
      </w:r>
    </w:hyperlink>
    <w:r>
      <w:rPr>
        <w:rFonts w:ascii="Helvetica" w:hAnsi="Helvetica"/>
        <w:color w:val="262626" w:themeColor="text1" w:themeTint="D9"/>
        <w:sz w:val="14"/>
        <w:szCs w:val="14"/>
      </w:rPr>
      <w:t xml:space="preserve"> </w:t>
    </w:r>
  </w:p>
  <w:p w:rsidR="00B93986" w:rsidRDefault="00B93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AAF" w:rsidRDefault="008E1AAF" w:rsidP="001B7085">
      <w:pPr>
        <w:spacing w:after="0" w:line="240" w:lineRule="auto"/>
      </w:pPr>
      <w:r>
        <w:separator/>
      </w:r>
    </w:p>
  </w:footnote>
  <w:footnote w:type="continuationSeparator" w:id="0">
    <w:p w:rsidR="008E1AAF" w:rsidRDefault="008E1AAF" w:rsidP="001B7085">
      <w:pPr>
        <w:spacing w:after="0" w:line="240" w:lineRule="auto"/>
      </w:pPr>
      <w:r>
        <w:continuationSeparator/>
      </w:r>
    </w:p>
  </w:footnote>
  <w:footnote w:id="1">
    <w:p w:rsidR="00F73078" w:rsidRPr="002A10B9" w:rsidRDefault="00F73078" w:rsidP="00F73078">
      <w:pPr>
        <w:pStyle w:val="FootnoteText"/>
      </w:pPr>
      <w:r w:rsidRPr="002A10B9">
        <w:rPr>
          <w:rStyle w:val="FootnoteReference"/>
        </w:rPr>
        <w:footnoteRef/>
      </w:r>
      <w:r w:rsidRPr="002A10B9">
        <w:t xml:space="preserve"> A separate ex</w:t>
      </w:r>
      <w:r>
        <w:t>ercise is being conducted to develop and refine the rule set, however if suggestions to improve their clarity are welcome.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986" w:rsidRDefault="00B93986" w:rsidP="00B93986">
    <w:pPr>
      <w:pStyle w:val="Header"/>
      <w:jc w:val="right"/>
      <w:rPr>
        <w:rStyle w:val="FSCName"/>
        <w:position w:val="1"/>
        <w:sz w:val="26"/>
        <w:szCs w:val="26"/>
        <w:vertAlign w:val="superscript"/>
      </w:rPr>
    </w:pPr>
    <w:r>
      <w:rPr>
        <w:rFonts w:ascii="Century Gothic" w:hAnsi="Century Gothic" w:cs="Arial"/>
        <w:b/>
        <w:noProof/>
        <w:color w:val="32503C"/>
        <w:sz w:val="36"/>
        <w:szCs w:val="36"/>
        <w:lang w:eastAsia="en-CA"/>
      </w:rPr>
      <w:drawing>
        <wp:anchor distT="0" distB="0" distL="114300" distR="114300" simplePos="0" relativeHeight="251653632" behindDoc="1" locked="0" layoutInCell="1" allowOverlap="1" wp14:anchorId="3058F854" wp14:editId="603B81AF">
          <wp:simplePos x="0" y="0"/>
          <wp:positionH relativeFrom="column">
            <wp:posOffset>29845</wp:posOffset>
          </wp:positionH>
          <wp:positionV relativeFrom="paragraph">
            <wp:posOffset>-165735</wp:posOffset>
          </wp:positionV>
          <wp:extent cx="709930" cy="857885"/>
          <wp:effectExtent l="19050" t="0" r="0" b="0"/>
          <wp:wrapTight wrapText="bothSides">
            <wp:wrapPolygon edited="0">
              <wp:start x="-580" y="0"/>
              <wp:lineTo x="-580" y="21104"/>
              <wp:lineTo x="21445" y="21104"/>
              <wp:lineTo x="21445" y="0"/>
              <wp:lineTo x="-580" y="0"/>
            </wp:wrapPolygon>
          </wp:wrapTight>
          <wp:docPr id="1" name="Picture 0" descr="FSC_Logo_-«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_Logo_-«_green.png"/>
                  <pic:cNvPicPr/>
                </pic:nvPicPr>
                <pic:blipFill>
                  <a:blip r:embed="rId1"/>
                  <a:stretch>
                    <a:fillRect/>
                  </a:stretch>
                </pic:blipFill>
                <pic:spPr>
                  <a:xfrm>
                    <a:off x="0" y="0"/>
                    <a:ext cx="709930" cy="857885"/>
                  </a:xfrm>
                  <a:prstGeom prst="rect">
                    <a:avLst/>
                  </a:prstGeom>
                </pic:spPr>
              </pic:pic>
            </a:graphicData>
          </a:graphic>
        </wp:anchor>
      </w:drawing>
    </w:r>
    <w:r w:rsidRPr="00BD461E">
      <w:t xml:space="preserve"> </w:t>
    </w:r>
    <w:r w:rsidRPr="007B49E9">
      <w:rPr>
        <w:rStyle w:val="FSCName"/>
      </w:rPr>
      <w:t>Forest Stewardship Council</w:t>
    </w:r>
    <w:r w:rsidRPr="00BD461E">
      <w:rPr>
        <w:rStyle w:val="FSCName"/>
        <w:position w:val="6"/>
        <w:sz w:val="20"/>
        <w:szCs w:val="20"/>
        <w:vertAlign w:val="superscript"/>
      </w:rPr>
      <w:t>®</w:t>
    </w:r>
  </w:p>
  <w:p w:rsidR="00B93986" w:rsidRPr="00BD461E" w:rsidRDefault="00B93986" w:rsidP="00B93986">
    <w:pPr>
      <w:pStyle w:val="Header"/>
      <w:jc w:val="right"/>
      <w:rPr>
        <w:rStyle w:val="FSCNationalInitiative"/>
        <w:rFonts w:cs="Arial"/>
      </w:rPr>
    </w:pPr>
    <w:r w:rsidRPr="00BD461E">
      <w:rPr>
        <w:rStyle w:val="FSCNationalInitiative"/>
        <w:rFonts w:cs="Arial"/>
      </w:rPr>
      <w:t>FSC</w:t>
    </w:r>
    <w:r w:rsidRPr="00BD461E">
      <w:rPr>
        <w:rStyle w:val="FSCNationalInitiative"/>
        <w:rFonts w:cs="Arial"/>
        <w:position w:val="6"/>
        <w:sz w:val="20"/>
        <w:szCs w:val="20"/>
        <w:vertAlign w:val="superscript"/>
      </w:rPr>
      <w:t>®</w:t>
    </w:r>
    <w:r w:rsidRPr="00BD461E">
      <w:rPr>
        <w:rStyle w:val="FSCNationalInitiative"/>
        <w:rFonts w:cs="Arial"/>
      </w:rPr>
      <w:t xml:space="preserve"> Canada</w:t>
    </w:r>
  </w:p>
  <w:p w:rsidR="00B93986" w:rsidRPr="00B93986" w:rsidRDefault="00B93986" w:rsidP="00B939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0DFC"/>
    <w:multiLevelType w:val="hybridMultilevel"/>
    <w:tmpl w:val="71344B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671630"/>
    <w:multiLevelType w:val="hybridMultilevel"/>
    <w:tmpl w:val="A404BB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810FA8"/>
    <w:multiLevelType w:val="hybridMultilevel"/>
    <w:tmpl w:val="C5BC38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850CCC"/>
    <w:multiLevelType w:val="hybridMultilevel"/>
    <w:tmpl w:val="F44A4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A22672"/>
    <w:multiLevelType w:val="hybridMultilevel"/>
    <w:tmpl w:val="39024F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0E10B2B"/>
    <w:multiLevelType w:val="hybridMultilevel"/>
    <w:tmpl w:val="27D8E08A"/>
    <w:lvl w:ilvl="0" w:tplc="3F46BDC6">
      <w:start w:val="500"/>
      <w:numFmt w:val="bullet"/>
      <w:lvlText w:val=""/>
      <w:lvlJc w:val="left"/>
      <w:pPr>
        <w:ind w:left="720" w:hanging="360"/>
      </w:pPr>
      <w:rPr>
        <w:rFonts w:ascii="Wingdings" w:eastAsiaTheme="minorHAnsi"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1C5470"/>
    <w:multiLevelType w:val="hybridMultilevel"/>
    <w:tmpl w:val="20887C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D3375C"/>
    <w:multiLevelType w:val="hybridMultilevel"/>
    <w:tmpl w:val="EE106E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F4448F"/>
    <w:multiLevelType w:val="hybridMultilevel"/>
    <w:tmpl w:val="E3082E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0B5E99"/>
    <w:multiLevelType w:val="hybridMultilevel"/>
    <w:tmpl w:val="B2608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EC80E0B"/>
    <w:multiLevelType w:val="hybridMultilevel"/>
    <w:tmpl w:val="C53895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2FB3FEA"/>
    <w:multiLevelType w:val="hybridMultilevel"/>
    <w:tmpl w:val="519C3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B436B1A"/>
    <w:multiLevelType w:val="hybridMultilevel"/>
    <w:tmpl w:val="377A8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12"/>
  </w:num>
  <w:num w:numId="6">
    <w:abstractNumId w:val="4"/>
  </w:num>
  <w:num w:numId="7">
    <w:abstractNumId w:val="0"/>
  </w:num>
  <w:num w:numId="8">
    <w:abstractNumId w:val="10"/>
  </w:num>
  <w:num w:numId="9">
    <w:abstractNumId w:val="6"/>
  </w:num>
  <w:num w:numId="10">
    <w:abstractNumId w:val="8"/>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B9"/>
    <w:rsid w:val="00072611"/>
    <w:rsid w:val="000F3D68"/>
    <w:rsid w:val="001024B0"/>
    <w:rsid w:val="00126C20"/>
    <w:rsid w:val="00134090"/>
    <w:rsid w:val="00140FF7"/>
    <w:rsid w:val="00197104"/>
    <w:rsid w:val="001A7252"/>
    <w:rsid w:val="001B7085"/>
    <w:rsid w:val="001C1D71"/>
    <w:rsid w:val="001E0808"/>
    <w:rsid w:val="00253407"/>
    <w:rsid w:val="0025593D"/>
    <w:rsid w:val="002A4940"/>
    <w:rsid w:val="00337814"/>
    <w:rsid w:val="00360C7F"/>
    <w:rsid w:val="00372BC5"/>
    <w:rsid w:val="00431B07"/>
    <w:rsid w:val="00441413"/>
    <w:rsid w:val="00451C07"/>
    <w:rsid w:val="0048645F"/>
    <w:rsid w:val="004967F7"/>
    <w:rsid w:val="004B3B9A"/>
    <w:rsid w:val="004C7C64"/>
    <w:rsid w:val="0052366E"/>
    <w:rsid w:val="00571482"/>
    <w:rsid w:val="005B0DE6"/>
    <w:rsid w:val="005D20BC"/>
    <w:rsid w:val="005E18D8"/>
    <w:rsid w:val="00615648"/>
    <w:rsid w:val="00664DC7"/>
    <w:rsid w:val="00691972"/>
    <w:rsid w:val="006D177D"/>
    <w:rsid w:val="006E661D"/>
    <w:rsid w:val="00756341"/>
    <w:rsid w:val="00766702"/>
    <w:rsid w:val="00766A83"/>
    <w:rsid w:val="00782359"/>
    <w:rsid w:val="007A0DD8"/>
    <w:rsid w:val="00801B42"/>
    <w:rsid w:val="00807291"/>
    <w:rsid w:val="00816A9D"/>
    <w:rsid w:val="008E1AAF"/>
    <w:rsid w:val="00910FB9"/>
    <w:rsid w:val="00965D99"/>
    <w:rsid w:val="00A56DAD"/>
    <w:rsid w:val="00A92ED6"/>
    <w:rsid w:val="00AD4914"/>
    <w:rsid w:val="00AF4E49"/>
    <w:rsid w:val="00B22348"/>
    <w:rsid w:val="00B428AF"/>
    <w:rsid w:val="00B70B37"/>
    <w:rsid w:val="00B93986"/>
    <w:rsid w:val="00BC0555"/>
    <w:rsid w:val="00C057D4"/>
    <w:rsid w:val="00C94EB7"/>
    <w:rsid w:val="00D4341A"/>
    <w:rsid w:val="00D633EC"/>
    <w:rsid w:val="00DE1610"/>
    <w:rsid w:val="00E07C39"/>
    <w:rsid w:val="00EC370B"/>
    <w:rsid w:val="00EC3A5A"/>
    <w:rsid w:val="00EF5EE5"/>
    <w:rsid w:val="00EF7A1E"/>
    <w:rsid w:val="00F63221"/>
    <w:rsid w:val="00F718A6"/>
    <w:rsid w:val="00F73078"/>
    <w:rsid w:val="00F8781D"/>
    <w:rsid w:val="00F91DDE"/>
    <w:rsid w:val="00FA16D9"/>
    <w:rsid w:val="00FC67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93287-07FA-44DD-9E85-444421AC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610"/>
  </w:style>
  <w:style w:type="paragraph" w:styleId="Heading1">
    <w:name w:val="heading 1"/>
    <w:basedOn w:val="Normal"/>
    <w:next w:val="Normal"/>
    <w:link w:val="Heading1Char"/>
    <w:uiPriority w:val="9"/>
    <w:qFormat/>
    <w:rsid w:val="00910F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0F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B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10FB9"/>
    <w:pPr>
      <w:spacing w:after="0" w:line="240" w:lineRule="auto"/>
    </w:pPr>
  </w:style>
  <w:style w:type="character" w:customStyle="1" w:styleId="Heading2Char">
    <w:name w:val="Heading 2 Char"/>
    <w:basedOn w:val="DefaultParagraphFont"/>
    <w:link w:val="Heading2"/>
    <w:uiPriority w:val="9"/>
    <w:rsid w:val="00910FB9"/>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99"/>
    <w:unhideWhenUsed/>
    <w:rsid w:val="00910FB9"/>
    <w:pPr>
      <w:spacing w:line="240" w:lineRule="auto"/>
      <w:jc w:val="right"/>
    </w:pPr>
    <w:rPr>
      <w:rFonts w:cstheme="minorHAnsi"/>
      <w:b/>
      <w:bCs/>
      <w:color w:val="365F91" w:themeColor="accent1" w:themeShade="BF"/>
      <w:sz w:val="16"/>
      <w:szCs w:val="16"/>
      <w:lang w:val="en-US" w:eastAsia="ja-JP"/>
    </w:rPr>
  </w:style>
  <w:style w:type="paragraph" w:styleId="ListParagraph">
    <w:name w:val="List Paragraph"/>
    <w:basedOn w:val="Normal"/>
    <w:uiPriority w:val="34"/>
    <w:unhideWhenUsed/>
    <w:qFormat/>
    <w:rsid w:val="00910FB9"/>
    <w:pPr>
      <w:ind w:left="720"/>
      <w:contextualSpacing/>
    </w:pPr>
    <w:rPr>
      <w:rFonts w:cstheme="minorHAnsi"/>
      <w:color w:val="17365D" w:themeColor="text2" w:themeShade="BF"/>
      <w:sz w:val="20"/>
      <w:szCs w:val="20"/>
      <w:lang w:val="en-US" w:eastAsia="ja-JP"/>
    </w:rPr>
  </w:style>
  <w:style w:type="table" w:styleId="TableGrid">
    <w:name w:val="Table Grid"/>
    <w:basedOn w:val="TableNormal"/>
    <w:uiPriority w:val="1"/>
    <w:rsid w:val="00910FB9"/>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qFormat/>
    <w:rsid w:val="00910FB9"/>
    <w:rPr>
      <w:sz w:val="16"/>
      <w:szCs w:val="16"/>
    </w:rPr>
  </w:style>
  <w:style w:type="paragraph" w:styleId="CommentText">
    <w:name w:val="annotation text"/>
    <w:basedOn w:val="Normal"/>
    <w:link w:val="CommentTextChar"/>
    <w:uiPriority w:val="99"/>
    <w:semiHidden/>
    <w:qFormat/>
    <w:rsid w:val="00910FB9"/>
    <w:pPr>
      <w:spacing w:line="240" w:lineRule="auto"/>
    </w:pPr>
    <w:rPr>
      <w:rFonts w:cstheme="minorHAnsi"/>
      <w:color w:val="17365D" w:themeColor="text2" w:themeShade="BF"/>
      <w:sz w:val="20"/>
      <w:szCs w:val="20"/>
      <w:lang w:val="en-US" w:eastAsia="ja-JP"/>
    </w:rPr>
  </w:style>
  <w:style w:type="character" w:customStyle="1" w:styleId="CommentTextChar">
    <w:name w:val="Comment Text Char"/>
    <w:basedOn w:val="DefaultParagraphFont"/>
    <w:link w:val="CommentText"/>
    <w:uiPriority w:val="99"/>
    <w:semiHidden/>
    <w:rsid w:val="00910FB9"/>
    <w:rPr>
      <w:rFonts w:cstheme="minorHAnsi"/>
      <w:color w:val="17365D" w:themeColor="text2" w:themeShade="BF"/>
      <w:sz w:val="20"/>
      <w:szCs w:val="20"/>
      <w:lang w:val="en-US" w:eastAsia="ja-JP"/>
    </w:rPr>
  </w:style>
  <w:style w:type="paragraph" w:styleId="BalloonText">
    <w:name w:val="Balloon Text"/>
    <w:basedOn w:val="Normal"/>
    <w:link w:val="BalloonTextChar"/>
    <w:uiPriority w:val="99"/>
    <w:semiHidden/>
    <w:unhideWhenUsed/>
    <w:rsid w:val="00910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FB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C1D71"/>
    <w:rPr>
      <w:rFonts w:cstheme="minorBidi"/>
      <w:b/>
      <w:bCs/>
      <w:color w:val="auto"/>
      <w:lang w:val="en-CA" w:eastAsia="en-US"/>
    </w:rPr>
  </w:style>
  <w:style w:type="character" w:customStyle="1" w:styleId="CommentSubjectChar">
    <w:name w:val="Comment Subject Char"/>
    <w:basedOn w:val="CommentTextChar"/>
    <w:link w:val="CommentSubject"/>
    <w:uiPriority w:val="99"/>
    <w:semiHidden/>
    <w:rsid w:val="001C1D71"/>
    <w:rPr>
      <w:rFonts w:cstheme="minorHAnsi"/>
      <w:b/>
      <w:bCs/>
      <w:color w:val="17365D" w:themeColor="text2" w:themeShade="BF"/>
      <w:sz w:val="20"/>
      <w:szCs w:val="20"/>
      <w:lang w:val="en-US" w:eastAsia="ja-JP"/>
    </w:rPr>
  </w:style>
  <w:style w:type="paragraph" w:styleId="Header">
    <w:name w:val="header"/>
    <w:basedOn w:val="Normal"/>
    <w:link w:val="HeaderChar"/>
    <w:uiPriority w:val="99"/>
    <w:unhideWhenUsed/>
    <w:rsid w:val="001B7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085"/>
  </w:style>
  <w:style w:type="paragraph" w:styleId="Footer">
    <w:name w:val="footer"/>
    <w:basedOn w:val="Normal"/>
    <w:link w:val="FooterChar"/>
    <w:uiPriority w:val="99"/>
    <w:unhideWhenUsed/>
    <w:rsid w:val="001B7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085"/>
  </w:style>
  <w:style w:type="paragraph" w:styleId="Revision">
    <w:name w:val="Revision"/>
    <w:hidden/>
    <w:uiPriority w:val="99"/>
    <w:semiHidden/>
    <w:rsid w:val="007A0DD8"/>
    <w:pPr>
      <w:spacing w:after="0" w:line="240" w:lineRule="auto"/>
    </w:pPr>
  </w:style>
  <w:style w:type="character" w:styleId="Hyperlink">
    <w:name w:val="Hyperlink"/>
    <w:basedOn w:val="DefaultParagraphFont"/>
    <w:uiPriority w:val="99"/>
    <w:unhideWhenUsed/>
    <w:rsid w:val="001A7252"/>
    <w:rPr>
      <w:color w:val="0000FF" w:themeColor="hyperlink"/>
      <w:u w:val="single"/>
    </w:rPr>
  </w:style>
  <w:style w:type="paragraph" w:styleId="FootnoteText">
    <w:name w:val="footnote text"/>
    <w:basedOn w:val="Normal"/>
    <w:link w:val="FootnoteTextChar"/>
    <w:uiPriority w:val="99"/>
    <w:semiHidden/>
    <w:unhideWhenUsed/>
    <w:rsid w:val="00F73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078"/>
    <w:rPr>
      <w:sz w:val="20"/>
      <w:szCs w:val="20"/>
    </w:rPr>
  </w:style>
  <w:style w:type="character" w:styleId="FootnoteReference">
    <w:name w:val="footnote reference"/>
    <w:basedOn w:val="DefaultParagraphFont"/>
    <w:uiPriority w:val="99"/>
    <w:semiHidden/>
    <w:unhideWhenUsed/>
    <w:rsid w:val="00F73078"/>
    <w:rPr>
      <w:vertAlign w:val="superscript"/>
    </w:rPr>
  </w:style>
  <w:style w:type="character" w:customStyle="1" w:styleId="FSCNationalInitiative">
    <w:name w:val="FSC National Initiative"/>
    <w:rsid w:val="00B93986"/>
    <w:rPr>
      <w:rFonts w:ascii="Arial" w:hAnsi="Arial"/>
      <w:color w:val="8BA093"/>
      <w:sz w:val="30"/>
      <w:szCs w:val="30"/>
    </w:rPr>
  </w:style>
  <w:style w:type="character" w:customStyle="1" w:styleId="FSCName">
    <w:name w:val="FSC Name"/>
    <w:rsid w:val="00B93986"/>
    <w:rPr>
      <w:rFonts w:ascii="Arial" w:hAnsi="Arial"/>
      <w:color w:val="174127"/>
      <w:sz w:val="30"/>
      <w:szCs w:val="30"/>
    </w:rPr>
  </w:style>
  <w:style w:type="character" w:customStyle="1" w:styleId="FSCAddressDetailsGreen">
    <w:name w:val="FSC Address Details Green"/>
    <w:rsid w:val="00B93986"/>
    <w:rPr>
      <w:rFonts w:ascii="Arial" w:hAnsi="Arial"/>
      <w:color w:val="174127"/>
      <w:sz w:val="16"/>
      <w:lang w:val="de-DE"/>
    </w:rPr>
  </w:style>
  <w:style w:type="paragraph" w:customStyle="1" w:styleId="FSCAddressDetailsBlack">
    <w:name w:val="FSC Address Details Black"/>
    <w:basedOn w:val="Footer"/>
    <w:rsid w:val="00B93986"/>
    <w:pPr>
      <w:tabs>
        <w:tab w:val="clear" w:pos="4680"/>
        <w:tab w:val="clear" w:pos="9360"/>
        <w:tab w:val="center" w:pos="4536"/>
        <w:tab w:val="right" w:pos="9072"/>
      </w:tabs>
      <w:spacing w:line="240" w:lineRule="exact"/>
    </w:pPr>
    <w:rPr>
      <w:rFonts w:ascii="Arial" w:eastAsia="Calibri" w:hAnsi="Arial" w:cs="Arial"/>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forestwatch.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tomclark.c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ca.fsc.org" TargetMode="External"/><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hyperlink" Target="http://www.ca.f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FDC79-927C-4FF4-A7AE-BF3E4F8E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Clark</dc:creator>
  <dc:description>Based on composite of other documents.</dc:description>
  <cp:lastModifiedBy>Monika Patel</cp:lastModifiedBy>
  <cp:revision>2</cp:revision>
  <dcterms:created xsi:type="dcterms:W3CDTF">2016-07-11T14:36:00Z</dcterms:created>
  <dcterms:modified xsi:type="dcterms:W3CDTF">2016-07-11T14:36:00Z</dcterms:modified>
</cp:coreProperties>
</file>